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50" w:rsidRDefault="00B71650" w:rsidP="00B71650">
      <w:pPr>
        <w:jc w:val="center"/>
        <w:rPr>
          <w:sz w:val="48"/>
          <w:szCs w:val="48"/>
        </w:rPr>
      </w:pPr>
    </w:p>
    <w:p w:rsidR="00B71650" w:rsidRDefault="00B71650" w:rsidP="00B71650">
      <w:pPr>
        <w:jc w:val="center"/>
        <w:rPr>
          <w:sz w:val="48"/>
          <w:szCs w:val="48"/>
        </w:rPr>
      </w:pPr>
    </w:p>
    <w:p w:rsidR="00B71650" w:rsidRDefault="00B71650" w:rsidP="00B71650">
      <w:pPr>
        <w:jc w:val="center"/>
        <w:rPr>
          <w:sz w:val="48"/>
          <w:szCs w:val="48"/>
        </w:rPr>
      </w:pPr>
    </w:p>
    <w:p w:rsidR="00B71650" w:rsidRDefault="00B71650" w:rsidP="00B71650">
      <w:pPr>
        <w:jc w:val="center"/>
        <w:rPr>
          <w:sz w:val="48"/>
          <w:szCs w:val="48"/>
        </w:rPr>
      </w:pPr>
    </w:p>
    <w:p w:rsidR="00B71650" w:rsidRDefault="00B71650" w:rsidP="00B71650">
      <w:pPr>
        <w:jc w:val="center"/>
        <w:rPr>
          <w:sz w:val="48"/>
          <w:szCs w:val="48"/>
        </w:rPr>
      </w:pPr>
    </w:p>
    <w:p w:rsidR="00B71650" w:rsidRDefault="00B71650" w:rsidP="00B71650">
      <w:pPr>
        <w:jc w:val="center"/>
        <w:rPr>
          <w:sz w:val="48"/>
          <w:szCs w:val="48"/>
        </w:rPr>
      </w:pPr>
    </w:p>
    <w:p w:rsidR="00B71650" w:rsidRDefault="00B71650" w:rsidP="00B71650">
      <w:pPr>
        <w:jc w:val="center"/>
        <w:rPr>
          <w:sz w:val="40"/>
          <w:szCs w:val="40"/>
        </w:rPr>
      </w:pPr>
    </w:p>
    <w:p w:rsidR="008A5624" w:rsidRPr="00A94919" w:rsidRDefault="00B71650" w:rsidP="00A94919">
      <w:pPr>
        <w:ind w:left="851"/>
        <w:rPr>
          <w:b/>
          <w:sz w:val="40"/>
          <w:szCs w:val="40"/>
        </w:rPr>
      </w:pPr>
      <w:r w:rsidRPr="00A94919">
        <w:rPr>
          <w:b/>
          <w:sz w:val="40"/>
          <w:szCs w:val="40"/>
        </w:rPr>
        <w:t>Summary of submissions</w:t>
      </w:r>
      <w:r w:rsidR="00B14B81" w:rsidRPr="00A94919">
        <w:rPr>
          <w:b/>
          <w:sz w:val="40"/>
          <w:szCs w:val="40"/>
        </w:rPr>
        <w:t xml:space="preserve"> </w:t>
      </w:r>
    </w:p>
    <w:p w:rsidR="00A94919" w:rsidRDefault="00A94919" w:rsidP="00A94919">
      <w:pPr>
        <w:ind w:left="851"/>
        <w:rPr>
          <w:sz w:val="40"/>
          <w:szCs w:val="40"/>
        </w:rPr>
      </w:pPr>
    </w:p>
    <w:p w:rsidR="00B71650" w:rsidRPr="000E4C42" w:rsidRDefault="000E4C42" w:rsidP="000E4C42">
      <w:pPr>
        <w:ind w:left="851"/>
        <w:rPr>
          <w:sz w:val="40"/>
          <w:szCs w:val="40"/>
        </w:rPr>
      </w:pPr>
      <w:proofErr w:type="gramStart"/>
      <w:r>
        <w:rPr>
          <w:sz w:val="40"/>
          <w:szCs w:val="40"/>
        </w:rPr>
        <w:t>o</w:t>
      </w:r>
      <w:r w:rsidR="00B14B81">
        <w:rPr>
          <w:sz w:val="40"/>
          <w:szCs w:val="40"/>
        </w:rPr>
        <w:t>n</w:t>
      </w:r>
      <w:proofErr w:type="gramEnd"/>
      <w:r>
        <w:rPr>
          <w:sz w:val="40"/>
          <w:szCs w:val="40"/>
        </w:rPr>
        <w:t xml:space="preserve"> the </w:t>
      </w:r>
      <w:r w:rsidR="00B14B81">
        <w:rPr>
          <w:sz w:val="40"/>
          <w:szCs w:val="40"/>
        </w:rPr>
        <w:t xml:space="preserve">draft </w:t>
      </w:r>
      <w:r w:rsidR="00B14B81">
        <w:rPr>
          <w:i/>
          <w:sz w:val="40"/>
          <w:szCs w:val="40"/>
        </w:rPr>
        <w:t>Standard Operating Procedures for Health and Disability Ethics Committees</w:t>
      </w:r>
      <w:r>
        <w:rPr>
          <w:sz w:val="40"/>
          <w:szCs w:val="40"/>
        </w:rPr>
        <w:t>, an</w:t>
      </w:r>
      <w:r w:rsidR="0084594D">
        <w:rPr>
          <w:sz w:val="40"/>
          <w:szCs w:val="40"/>
        </w:rPr>
        <w:t>d the</w:t>
      </w:r>
      <w:r>
        <w:rPr>
          <w:sz w:val="40"/>
          <w:szCs w:val="40"/>
        </w:rPr>
        <w:t xml:space="preserve"> draft HDEC application form</w:t>
      </w:r>
    </w:p>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B71650" w:rsidRDefault="00B71650" w:rsidP="00B71650"/>
    <w:p w:rsidR="00A94919" w:rsidRDefault="00A94919">
      <w:pPr>
        <w:spacing w:after="200" w:line="276" w:lineRule="auto"/>
        <w:rPr>
          <w:sz w:val="24"/>
          <w:szCs w:val="24"/>
        </w:rPr>
      </w:pPr>
      <w:r>
        <w:rPr>
          <w:sz w:val="24"/>
          <w:szCs w:val="24"/>
        </w:rPr>
        <w:br w:type="page"/>
      </w: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A94919" w:rsidRDefault="00A94919" w:rsidP="00B71650">
      <w:pPr>
        <w:rPr>
          <w:sz w:val="24"/>
          <w:szCs w:val="24"/>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F70D54" w:rsidRDefault="00F70D54" w:rsidP="00A94919">
      <w:pPr>
        <w:jc w:val="center"/>
        <w:rPr>
          <w:sz w:val="24"/>
          <w:szCs w:val="24"/>
          <w:highlight w:val="red"/>
        </w:rPr>
      </w:pPr>
    </w:p>
    <w:p w:rsidR="004A7F6C" w:rsidRPr="003210CE" w:rsidRDefault="004A7F6C" w:rsidP="004A7F6C">
      <w:pPr>
        <w:pStyle w:val="CM39"/>
        <w:spacing w:after="240" w:line="256" w:lineRule="atLeast"/>
        <w:jc w:val="center"/>
        <w:rPr>
          <w:rFonts w:cs="Arial"/>
          <w:color w:val="000000"/>
          <w:sz w:val="22"/>
          <w:szCs w:val="22"/>
        </w:rPr>
      </w:pPr>
      <w:r w:rsidRPr="003210CE">
        <w:rPr>
          <w:rFonts w:cs="Arial"/>
          <w:color w:val="000000"/>
          <w:sz w:val="22"/>
          <w:szCs w:val="22"/>
        </w:rPr>
        <w:t xml:space="preserve">Published in </w:t>
      </w:r>
      <w:r>
        <w:rPr>
          <w:rFonts w:cs="Arial"/>
          <w:color w:val="000000"/>
          <w:sz w:val="22"/>
          <w:szCs w:val="22"/>
        </w:rPr>
        <w:t>May 2012</w:t>
      </w:r>
      <w:r w:rsidRPr="003210CE">
        <w:rPr>
          <w:rFonts w:cs="Arial"/>
          <w:color w:val="000000"/>
          <w:sz w:val="22"/>
          <w:szCs w:val="22"/>
        </w:rPr>
        <w:t xml:space="preserve"> </w:t>
      </w:r>
    </w:p>
    <w:p w:rsidR="004A7F6C" w:rsidRPr="003210CE" w:rsidRDefault="004A7F6C" w:rsidP="004A7F6C">
      <w:pPr>
        <w:pStyle w:val="CM39"/>
        <w:spacing w:after="240" w:line="256" w:lineRule="atLeast"/>
        <w:jc w:val="center"/>
        <w:rPr>
          <w:rFonts w:cs="Arial"/>
          <w:color w:val="000000"/>
          <w:sz w:val="22"/>
          <w:szCs w:val="22"/>
        </w:rPr>
      </w:pPr>
      <w:proofErr w:type="gramStart"/>
      <w:r w:rsidRPr="003210CE">
        <w:rPr>
          <w:rFonts w:cs="Arial"/>
          <w:color w:val="000000"/>
          <w:sz w:val="22"/>
          <w:szCs w:val="22"/>
        </w:rPr>
        <w:t>by</w:t>
      </w:r>
      <w:proofErr w:type="gramEnd"/>
      <w:r w:rsidRPr="003210CE">
        <w:rPr>
          <w:rFonts w:cs="Arial"/>
          <w:color w:val="000000"/>
          <w:sz w:val="22"/>
          <w:szCs w:val="22"/>
        </w:rPr>
        <w:t xml:space="preserve"> the Ministry of Health </w:t>
      </w:r>
      <w:r w:rsidRPr="003210CE">
        <w:rPr>
          <w:rFonts w:cs="Arial"/>
          <w:color w:val="000000"/>
          <w:sz w:val="22"/>
          <w:szCs w:val="22"/>
        </w:rPr>
        <w:br/>
      </w:r>
      <w:smartTag w:uri="urn:schemas-microsoft-com:office:smarttags" w:element="address">
        <w:smartTag w:uri="urn:schemas-microsoft-com:office:smarttags" w:element="Street">
          <w:r w:rsidRPr="003210CE">
            <w:rPr>
              <w:rFonts w:cs="Arial"/>
              <w:color w:val="000000"/>
              <w:sz w:val="22"/>
              <w:szCs w:val="22"/>
            </w:rPr>
            <w:t>PO Box 5013</w:t>
          </w:r>
        </w:smartTag>
        <w:r w:rsidRPr="003210CE">
          <w:rPr>
            <w:rFonts w:cs="Arial"/>
            <w:color w:val="000000"/>
            <w:sz w:val="22"/>
            <w:szCs w:val="22"/>
          </w:rPr>
          <w:t xml:space="preserve">, </w:t>
        </w:r>
        <w:smartTag w:uri="urn:schemas-microsoft-com:office:smarttags" w:element="City">
          <w:r w:rsidRPr="003210CE">
            <w:rPr>
              <w:rFonts w:cs="Arial"/>
              <w:color w:val="000000"/>
              <w:sz w:val="22"/>
              <w:szCs w:val="22"/>
            </w:rPr>
            <w:t>Wellington</w:t>
          </w:r>
        </w:smartTag>
        <w:r w:rsidRPr="003210CE">
          <w:rPr>
            <w:rFonts w:cs="Arial"/>
            <w:color w:val="000000"/>
            <w:sz w:val="22"/>
            <w:szCs w:val="22"/>
          </w:rPr>
          <w:t xml:space="preserve">, </w:t>
        </w:r>
        <w:smartTag w:uri="urn:schemas-microsoft-com:office:smarttags" w:element="country-region">
          <w:r w:rsidRPr="003210CE">
            <w:rPr>
              <w:rFonts w:cs="Arial"/>
              <w:color w:val="000000"/>
              <w:sz w:val="22"/>
              <w:szCs w:val="22"/>
            </w:rPr>
            <w:t>New Zealand</w:t>
          </w:r>
        </w:smartTag>
      </w:smartTag>
      <w:r w:rsidRPr="003210CE">
        <w:rPr>
          <w:rFonts w:cs="Arial"/>
          <w:color w:val="000000"/>
          <w:sz w:val="22"/>
          <w:szCs w:val="22"/>
        </w:rPr>
        <w:t xml:space="preserve"> </w:t>
      </w:r>
    </w:p>
    <w:p w:rsidR="004A7F6C" w:rsidRDefault="004A7F6C" w:rsidP="004A7F6C">
      <w:pPr>
        <w:pStyle w:val="CM39"/>
        <w:spacing w:after="240" w:line="256" w:lineRule="atLeast"/>
        <w:jc w:val="center"/>
        <w:rPr>
          <w:rFonts w:cs="Arial"/>
          <w:color w:val="000000"/>
          <w:sz w:val="22"/>
          <w:szCs w:val="22"/>
        </w:rPr>
      </w:pPr>
      <w:r w:rsidRPr="007B3FED">
        <w:rPr>
          <w:rFonts w:cs="Arial"/>
          <w:color w:val="000000"/>
          <w:sz w:val="22"/>
          <w:szCs w:val="22"/>
        </w:rPr>
        <w:t xml:space="preserve">ISBN: </w:t>
      </w:r>
      <w:r w:rsidRPr="004A7F6C">
        <w:rPr>
          <w:rFonts w:cs="Arial"/>
          <w:color w:val="000000"/>
          <w:sz w:val="22"/>
          <w:szCs w:val="22"/>
        </w:rPr>
        <w:t>978-478-39338-5 (online)</w:t>
      </w:r>
      <w:r>
        <w:rPr>
          <w:rFonts w:cs="Arial"/>
          <w:color w:val="000000"/>
          <w:sz w:val="22"/>
          <w:szCs w:val="22"/>
        </w:rPr>
        <w:t xml:space="preserve"> </w:t>
      </w:r>
      <w:r w:rsidRPr="004A7F6C">
        <w:rPr>
          <w:rFonts w:cs="Arial"/>
          <w:color w:val="000000"/>
          <w:sz w:val="22"/>
          <w:szCs w:val="22"/>
        </w:rPr>
        <w:t>HP 5509</w:t>
      </w:r>
    </w:p>
    <w:p w:rsidR="004A7F6C" w:rsidRPr="005546C6" w:rsidRDefault="004A7F6C" w:rsidP="004A7F6C">
      <w:pPr>
        <w:pStyle w:val="CM39"/>
        <w:spacing w:after="240" w:line="256" w:lineRule="atLeast"/>
        <w:jc w:val="center"/>
        <w:rPr>
          <w:rFonts w:cs="Arial"/>
          <w:color w:val="000000"/>
          <w:sz w:val="22"/>
          <w:szCs w:val="22"/>
        </w:rPr>
      </w:pPr>
      <w:r w:rsidRPr="005546C6">
        <w:rPr>
          <w:rFonts w:cs="Arial"/>
          <w:color w:val="000000"/>
          <w:sz w:val="22"/>
          <w:szCs w:val="22"/>
        </w:rPr>
        <w:t xml:space="preserve">This document is available on the New Zealand Health and Disability Ethics Committees’ website: </w:t>
      </w:r>
      <w:hyperlink r:id="rId9" w:history="1">
        <w:r w:rsidRPr="000907B3">
          <w:rPr>
            <w:rStyle w:val="Hyperlink"/>
            <w:rFonts w:cs="Arial"/>
            <w:sz w:val="22"/>
            <w:szCs w:val="22"/>
          </w:rPr>
          <w:t>http://www.ethics.health.govt.nz</w:t>
        </w:r>
      </w:hyperlink>
    </w:p>
    <w:p w:rsidR="00B71650" w:rsidRPr="005E7772" w:rsidRDefault="00B71650" w:rsidP="004A7F6C">
      <w:pPr>
        <w:jc w:val="center"/>
        <w:rPr>
          <w:sz w:val="24"/>
          <w:szCs w:val="24"/>
        </w:rPr>
      </w:pPr>
      <w:r w:rsidRPr="005E7772">
        <w:rPr>
          <w:sz w:val="24"/>
          <w:szCs w:val="24"/>
        </w:rPr>
        <w:br w:type="page"/>
      </w:r>
    </w:p>
    <w:sdt>
      <w:sdtPr>
        <w:rPr>
          <w:rFonts w:ascii="Arial" w:eastAsiaTheme="minorHAnsi" w:hAnsi="Arial" w:cstheme="minorBidi"/>
          <w:b w:val="0"/>
          <w:bCs w:val="0"/>
          <w:color w:val="auto"/>
          <w:sz w:val="24"/>
          <w:szCs w:val="22"/>
          <w:lang w:val="en-NZ" w:eastAsia="en-US"/>
        </w:rPr>
        <w:id w:val="1867172114"/>
        <w:docPartObj>
          <w:docPartGallery w:val="Table of Contents"/>
          <w:docPartUnique/>
        </w:docPartObj>
      </w:sdtPr>
      <w:sdtEndPr>
        <w:rPr>
          <w:noProof/>
          <w:sz w:val="22"/>
        </w:rPr>
      </w:sdtEndPr>
      <w:sdtContent>
        <w:p w:rsidR="00B71650" w:rsidRDefault="00B71650" w:rsidP="00B71650">
          <w:pPr>
            <w:pStyle w:val="TOCHeading"/>
          </w:pPr>
          <w:r>
            <w:t>Table of Contents</w:t>
          </w:r>
        </w:p>
        <w:p w:rsidR="008E1A37" w:rsidRDefault="008A5624" w:rsidP="004465E1">
          <w:pPr>
            <w:pStyle w:val="TOC1"/>
          </w:pPr>
          <w:r>
            <w:tab/>
          </w:r>
          <w:r w:rsidR="00B14B81">
            <w:fldChar w:fldCharType="begin"/>
          </w:r>
          <w:r w:rsidR="00B14B81">
            <w:instrText xml:space="preserve"> TOC \o "1-2" \h \z \u </w:instrText>
          </w:r>
          <w:r w:rsidR="00B14B81">
            <w:fldChar w:fldCharType="separate"/>
          </w:r>
        </w:p>
        <w:p w:rsidR="008E1A37" w:rsidRDefault="00DD5C4D">
          <w:pPr>
            <w:pStyle w:val="TOC1"/>
            <w:rPr>
              <w:rFonts w:asciiTheme="minorHAnsi" w:eastAsiaTheme="minorEastAsia" w:hAnsiTheme="minorHAnsi"/>
              <w:b w:val="0"/>
              <w:sz w:val="22"/>
              <w:lang w:eastAsia="en-NZ"/>
            </w:rPr>
          </w:pPr>
          <w:hyperlink w:anchor="_Toc324258567" w:history="1">
            <w:r w:rsidR="008E1A37" w:rsidRPr="00A437B0">
              <w:rPr>
                <w:rStyle w:val="Hyperlink"/>
              </w:rPr>
              <w:t>1.</w:t>
            </w:r>
            <w:r w:rsidR="008E1A37">
              <w:rPr>
                <w:rFonts w:asciiTheme="minorHAnsi" w:eastAsiaTheme="minorEastAsia" w:hAnsiTheme="minorHAnsi"/>
                <w:b w:val="0"/>
                <w:sz w:val="22"/>
                <w:lang w:eastAsia="en-NZ"/>
              </w:rPr>
              <w:tab/>
            </w:r>
            <w:r w:rsidR="008E1A37" w:rsidRPr="00A437B0">
              <w:rPr>
                <w:rStyle w:val="Hyperlink"/>
              </w:rPr>
              <w:t>Background</w:t>
            </w:r>
            <w:r w:rsidR="008E1A37">
              <w:rPr>
                <w:webHidden/>
              </w:rPr>
              <w:tab/>
            </w:r>
            <w:r w:rsidR="008E1A37">
              <w:rPr>
                <w:webHidden/>
              </w:rPr>
              <w:fldChar w:fldCharType="begin"/>
            </w:r>
            <w:r w:rsidR="008E1A37">
              <w:rPr>
                <w:webHidden/>
              </w:rPr>
              <w:instrText xml:space="preserve"> PAGEREF _Toc324258567 \h </w:instrText>
            </w:r>
            <w:r w:rsidR="008E1A37">
              <w:rPr>
                <w:webHidden/>
              </w:rPr>
            </w:r>
            <w:r w:rsidR="008E1A37">
              <w:rPr>
                <w:webHidden/>
              </w:rPr>
              <w:fldChar w:fldCharType="separate"/>
            </w:r>
            <w:r w:rsidR="008E1A37">
              <w:rPr>
                <w:webHidden/>
              </w:rPr>
              <w:t>4</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68" w:history="1">
            <w:r w:rsidR="008E1A37" w:rsidRPr="00A437B0">
              <w:rPr>
                <w:rStyle w:val="Hyperlink"/>
              </w:rPr>
              <w:t>Overview of submitters and submissions</w:t>
            </w:r>
            <w:r w:rsidR="008E1A37">
              <w:rPr>
                <w:webHidden/>
              </w:rPr>
              <w:tab/>
            </w:r>
            <w:r w:rsidR="008E1A37">
              <w:rPr>
                <w:webHidden/>
              </w:rPr>
              <w:fldChar w:fldCharType="begin"/>
            </w:r>
            <w:r w:rsidR="008E1A37">
              <w:rPr>
                <w:webHidden/>
              </w:rPr>
              <w:instrText xml:space="preserve"> PAGEREF _Toc324258568 \h </w:instrText>
            </w:r>
            <w:r w:rsidR="008E1A37">
              <w:rPr>
                <w:webHidden/>
              </w:rPr>
            </w:r>
            <w:r w:rsidR="008E1A37">
              <w:rPr>
                <w:webHidden/>
              </w:rPr>
              <w:fldChar w:fldCharType="separate"/>
            </w:r>
            <w:r w:rsidR="008E1A37">
              <w:rPr>
                <w:webHidden/>
              </w:rPr>
              <w:t>5</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69" w:history="1">
            <w:r w:rsidR="008E1A37" w:rsidRPr="00A437B0">
              <w:rPr>
                <w:rStyle w:val="Hyperlink"/>
              </w:rPr>
              <w:t>Feedback on government decisions</w:t>
            </w:r>
            <w:r w:rsidR="008E1A37">
              <w:rPr>
                <w:webHidden/>
              </w:rPr>
              <w:tab/>
            </w:r>
            <w:r w:rsidR="008E1A37">
              <w:rPr>
                <w:webHidden/>
              </w:rPr>
              <w:fldChar w:fldCharType="begin"/>
            </w:r>
            <w:r w:rsidR="008E1A37">
              <w:rPr>
                <w:webHidden/>
              </w:rPr>
              <w:instrText xml:space="preserve"> PAGEREF _Toc324258569 \h </w:instrText>
            </w:r>
            <w:r w:rsidR="008E1A37">
              <w:rPr>
                <w:webHidden/>
              </w:rPr>
            </w:r>
            <w:r w:rsidR="008E1A37">
              <w:rPr>
                <w:webHidden/>
              </w:rPr>
              <w:fldChar w:fldCharType="separate"/>
            </w:r>
            <w:r w:rsidR="008E1A37">
              <w:rPr>
                <w:webHidden/>
              </w:rPr>
              <w:t>6</w:t>
            </w:r>
            <w:r w:rsidR="008E1A37">
              <w:rPr>
                <w:webHidden/>
              </w:rPr>
              <w:fldChar w:fldCharType="end"/>
            </w:r>
          </w:hyperlink>
        </w:p>
        <w:p w:rsidR="008E1A37" w:rsidRDefault="00DD5C4D">
          <w:pPr>
            <w:pStyle w:val="TOC1"/>
            <w:rPr>
              <w:rFonts w:asciiTheme="minorHAnsi" w:eastAsiaTheme="minorEastAsia" w:hAnsiTheme="minorHAnsi"/>
              <w:b w:val="0"/>
              <w:sz w:val="22"/>
              <w:lang w:eastAsia="en-NZ"/>
            </w:rPr>
          </w:pPr>
          <w:hyperlink w:anchor="_Toc324258570" w:history="1">
            <w:r w:rsidR="008E1A37" w:rsidRPr="00A437B0">
              <w:rPr>
                <w:rStyle w:val="Hyperlink"/>
              </w:rPr>
              <w:t>2.</w:t>
            </w:r>
            <w:r w:rsidR="008E1A37">
              <w:rPr>
                <w:rFonts w:asciiTheme="minorHAnsi" w:eastAsiaTheme="minorEastAsia" w:hAnsiTheme="minorHAnsi"/>
                <w:b w:val="0"/>
                <w:sz w:val="22"/>
                <w:lang w:eastAsia="en-NZ"/>
              </w:rPr>
              <w:tab/>
            </w:r>
            <w:r w:rsidR="008E1A37" w:rsidRPr="00A437B0">
              <w:rPr>
                <w:rStyle w:val="Hyperlink"/>
              </w:rPr>
              <w:t xml:space="preserve">Feedback on draft </w:t>
            </w:r>
            <w:r w:rsidR="008E1A37" w:rsidRPr="00A437B0">
              <w:rPr>
                <w:rStyle w:val="Hyperlink"/>
                <w:i/>
              </w:rPr>
              <w:t>SOPs for HDECs</w:t>
            </w:r>
            <w:r w:rsidR="008E1A37">
              <w:rPr>
                <w:webHidden/>
              </w:rPr>
              <w:tab/>
            </w:r>
            <w:r w:rsidR="008E1A37">
              <w:rPr>
                <w:webHidden/>
              </w:rPr>
              <w:fldChar w:fldCharType="begin"/>
            </w:r>
            <w:r w:rsidR="008E1A37">
              <w:rPr>
                <w:webHidden/>
              </w:rPr>
              <w:instrText xml:space="preserve"> PAGEREF _Toc324258570 \h </w:instrText>
            </w:r>
            <w:r w:rsidR="008E1A37">
              <w:rPr>
                <w:webHidden/>
              </w:rPr>
            </w:r>
            <w:r w:rsidR="008E1A37">
              <w:rPr>
                <w:webHidden/>
              </w:rPr>
              <w:fldChar w:fldCharType="separate"/>
            </w:r>
            <w:r w:rsidR="008E1A37">
              <w:rPr>
                <w:webHidden/>
              </w:rPr>
              <w:t>7</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1" w:history="1">
            <w:r w:rsidR="008E1A37" w:rsidRPr="00A437B0">
              <w:rPr>
                <w:rStyle w:val="Hyperlink"/>
              </w:rPr>
              <w:t>Overall comments</w:t>
            </w:r>
            <w:r w:rsidR="008E1A37">
              <w:rPr>
                <w:webHidden/>
              </w:rPr>
              <w:tab/>
            </w:r>
            <w:r w:rsidR="008E1A37">
              <w:rPr>
                <w:webHidden/>
              </w:rPr>
              <w:fldChar w:fldCharType="begin"/>
            </w:r>
            <w:r w:rsidR="008E1A37">
              <w:rPr>
                <w:webHidden/>
              </w:rPr>
              <w:instrText xml:space="preserve"> PAGEREF _Toc324258571 \h </w:instrText>
            </w:r>
            <w:r w:rsidR="008E1A37">
              <w:rPr>
                <w:webHidden/>
              </w:rPr>
            </w:r>
            <w:r w:rsidR="008E1A37">
              <w:rPr>
                <w:webHidden/>
              </w:rPr>
              <w:fldChar w:fldCharType="separate"/>
            </w:r>
            <w:r w:rsidR="008E1A37">
              <w:rPr>
                <w:webHidden/>
              </w:rPr>
              <w:t>7</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2" w:history="1">
            <w:r w:rsidR="008E1A37" w:rsidRPr="00A437B0">
              <w:rPr>
                <w:rStyle w:val="Hyperlink"/>
              </w:rPr>
              <w:t>Section 1:  Purpose and application</w:t>
            </w:r>
            <w:r w:rsidR="008E1A37">
              <w:rPr>
                <w:webHidden/>
              </w:rPr>
              <w:tab/>
            </w:r>
            <w:r w:rsidR="008E1A37">
              <w:rPr>
                <w:webHidden/>
              </w:rPr>
              <w:fldChar w:fldCharType="begin"/>
            </w:r>
            <w:r w:rsidR="008E1A37">
              <w:rPr>
                <w:webHidden/>
              </w:rPr>
              <w:instrText xml:space="preserve"> PAGEREF _Toc324258572 \h </w:instrText>
            </w:r>
            <w:r w:rsidR="008E1A37">
              <w:rPr>
                <w:webHidden/>
              </w:rPr>
            </w:r>
            <w:r w:rsidR="008E1A37">
              <w:rPr>
                <w:webHidden/>
              </w:rPr>
              <w:fldChar w:fldCharType="separate"/>
            </w:r>
            <w:r w:rsidR="008E1A37">
              <w:rPr>
                <w:webHidden/>
              </w:rPr>
              <w:t>8</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3" w:history="1">
            <w:r w:rsidR="008E1A37" w:rsidRPr="00A437B0">
              <w:rPr>
                <w:rStyle w:val="Hyperlink"/>
              </w:rPr>
              <w:t>Section 2:  The role of HDECs</w:t>
            </w:r>
            <w:r w:rsidR="008E1A37">
              <w:rPr>
                <w:webHidden/>
              </w:rPr>
              <w:tab/>
            </w:r>
            <w:r w:rsidR="008E1A37">
              <w:rPr>
                <w:webHidden/>
              </w:rPr>
              <w:fldChar w:fldCharType="begin"/>
            </w:r>
            <w:r w:rsidR="008E1A37">
              <w:rPr>
                <w:webHidden/>
              </w:rPr>
              <w:instrText xml:space="preserve"> PAGEREF _Toc324258573 \h </w:instrText>
            </w:r>
            <w:r w:rsidR="008E1A37">
              <w:rPr>
                <w:webHidden/>
              </w:rPr>
            </w:r>
            <w:r w:rsidR="008E1A37">
              <w:rPr>
                <w:webHidden/>
              </w:rPr>
              <w:fldChar w:fldCharType="separate"/>
            </w:r>
            <w:r w:rsidR="008E1A37">
              <w:rPr>
                <w:webHidden/>
              </w:rPr>
              <w:t>9</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4" w:history="1">
            <w:r w:rsidR="008E1A37" w:rsidRPr="00A437B0">
              <w:rPr>
                <w:rStyle w:val="Hyperlink"/>
              </w:rPr>
              <w:t>Section 3: Scope of HDEC review</w:t>
            </w:r>
            <w:r w:rsidR="008E1A37">
              <w:rPr>
                <w:webHidden/>
              </w:rPr>
              <w:tab/>
            </w:r>
            <w:r w:rsidR="008E1A37">
              <w:rPr>
                <w:webHidden/>
              </w:rPr>
              <w:fldChar w:fldCharType="begin"/>
            </w:r>
            <w:r w:rsidR="008E1A37">
              <w:rPr>
                <w:webHidden/>
              </w:rPr>
              <w:instrText xml:space="preserve"> PAGEREF _Toc324258574 \h </w:instrText>
            </w:r>
            <w:r w:rsidR="008E1A37">
              <w:rPr>
                <w:webHidden/>
              </w:rPr>
            </w:r>
            <w:r w:rsidR="008E1A37">
              <w:rPr>
                <w:webHidden/>
              </w:rPr>
              <w:fldChar w:fldCharType="separate"/>
            </w:r>
            <w:r w:rsidR="008E1A37">
              <w:rPr>
                <w:webHidden/>
              </w:rPr>
              <w:t>10</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5" w:history="1">
            <w:r w:rsidR="008E1A37" w:rsidRPr="00A437B0">
              <w:rPr>
                <w:rStyle w:val="Hyperlink"/>
              </w:rPr>
              <w:t>Section 4: Applying for HDEC review</w:t>
            </w:r>
            <w:r w:rsidR="008E1A37">
              <w:rPr>
                <w:webHidden/>
              </w:rPr>
              <w:tab/>
            </w:r>
            <w:r w:rsidR="008E1A37">
              <w:rPr>
                <w:webHidden/>
              </w:rPr>
              <w:fldChar w:fldCharType="begin"/>
            </w:r>
            <w:r w:rsidR="008E1A37">
              <w:rPr>
                <w:webHidden/>
              </w:rPr>
              <w:instrText xml:space="preserve"> PAGEREF _Toc324258575 \h </w:instrText>
            </w:r>
            <w:r w:rsidR="008E1A37">
              <w:rPr>
                <w:webHidden/>
              </w:rPr>
            </w:r>
            <w:r w:rsidR="008E1A37">
              <w:rPr>
                <w:webHidden/>
              </w:rPr>
              <w:fldChar w:fldCharType="separate"/>
            </w:r>
            <w:r w:rsidR="008E1A37">
              <w:rPr>
                <w:webHidden/>
              </w:rPr>
              <w:t>11</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6" w:history="1">
            <w:r w:rsidR="008E1A37" w:rsidRPr="00A437B0">
              <w:rPr>
                <w:rStyle w:val="Hyperlink"/>
              </w:rPr>
              <w:t>Section 5: The full review pathway</w:t>
            </w:r>
            <w:r w:rsidR="008E1A37">
              <w:rPr>
                <w:webHidden/>
              </w:rPr>
              <w:tab/>
            </w:r>
            <w:r w:rsidR="008E1A37">
              <w:rPr>
                <w:webHidden/>
              </w:rPr>
              <w:fldChar w:fldCharType="begin"/>
            </w:r>
            <w:r w:rsidR="008E1A37">
              <w:rPr>
                <w:webHidden/>
              </w:rPr>
              <w:instrText xml:space="preserve"> PAGEREF _Toc324258576 \h </w:instrText>
            </w:r>
            <w:r w:rsidR="008E1A37">
              <w:rPr>
                <w:webHidden/>
              </w:rPr>
            </w:r>
            <w:r w:rsidR="008E1A37">
              <w:rPr>
                <w:webHidden/>
              </w:rPr>
              <w:fldChar w:fldCharType="separate"/>
            </w:r>
            <w:r w:rsidR="008E1A37">
              <w:rPr>
                <w:webHidden/>
              </w:rPr>
              <w:t>12</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7" w:history="1">
            <w:r w:rsidR="008E1A37" w:rsidRPr="00A437B0">
              <w:rPr>
                <w:rStyle w:val="Hyperlink"/>
              </w:rPr>
              <w:t>Section 6: The expedited review pathway</w:t>
            </w:r>
            <w:r w:rsidR="008E1A37">
              <w:rPr>
                <w:webHidden/>
              </w:rPr>
              <w:tab/>
            </w:r>
            <w:r w:rsidR="008E1A37">
              <w:rPr>
                <w:webHidden/>
              </w:rPr>
              <w:fldChar w:fldCharType="begin"/>
            </w:r>
            <w:r w:rsidR="008E1A37">
              <w:rPr>
                <w:webHidden/>
              </w:rPr>
              <w:instrText xml:space="preserve"> PAGEREF _Toc324258577 \h </w:instrText>
            </w:r>
            <w:r w:rsidR="008E1A37">
              <w:rPr>
                <w:webHidden/>
              </w:rPr>
            </w:r>
            <w:r w:rsidR="008E1A37">
              <w:rPr>
                <w:webHidden/>
              </w:rPr>
              <w:fldChar w:fldCharType="separate"/>
            </w:r>
            <w:r w:rsidR="008E1A37">
              <w:rPr>
                <w:webHidden/>
              </w:rPr>
              <w:t>14</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8" w:history="1">
            <w:r w:rsidR="008E1A37" w:rsidRPr="00A437B0">
              <w:rPr>
                <w:rStyle w:val="Hyperlink"/>
              </w:rPr>
              <w:t>Section 7: Decisions open to HDECs</w:t>
            </w:r>
            <w:r w:rsidR="008E1A37">
              <w:rPr>
                <w:webHidden/>
              </w:rPr>
              <w:tab/>
            </w:r>
            <w:r w:rsidR="008E1A37">
              <w:rPr>
                <w:webHidden/>
              </w:rPr>
              <w:fldChar w:fldCharType="begin"/>
            </w:r>
            <w:r w:rsidR="008E1A37">
              <w:rPr>
                <w:webHidden/>
              </w:rPr>
              <w:instrText xml:space="preserve"> PAGEREF _Toc324258578 \h </w:instrText>
            </w:r>
            <w:r w:rsidR="008E1A37">
              <w:rPr>
                <w:webHidden/>
              </w:rPr>
            </w:r>
            <w:r w:rsidR="008E1A37">
              <w:rPr>
                <w:webHidden/>
              </w:rPr>
              <w:fldChar w:fldCharType="separate"/>
            </w:r>
            <w:r w:rsidR="008E1A37">
              <w:rPr>
                <w:webHidden/>
              </w:rPr>
              <w:t>15</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79" w:history="1">
            <w:r w:rsidR="008E1A37" w:rsidRPr="00A437B0">
              <w:rPr>
                <w:rStyle w:val="Hyperlink"/>
              </w:rPr>
              <w:t>Section 8: HDECs and the ACC Act</w:t>
            </w:r>
            <w:r w:rsidR="008E1A37">
              <w:rPr>
                <w:webHidden/>
              </w:rPr>
              <w:tab/>
            </w:r>
            <w:r w:rsidR="008E1A37">
              <w:rPr>
                <w:webHidden/>
              </w:rPr>
              <w:fldChar w:fldCharType="begin"/>
            </w:r>
            <w:r w:rsidR="008E1A37">
              <w:rPr>
                <w:webHidden/>
              </w:rPr>
              <w:instrText xml:space="preserve"> PAGEREF _Toc324258579 \h </w:instrText>
            </w:r>
            <w:r w:rsidR="008E1A37">
              <w:rPr>
                <w:webHidden/>
              </w:rPr>
            </w:r>
            <w:r w:rsidR="008E1A37">
              <w:rPr>
                <w:webHidden/>
              </w:rPr>
              <w:fldChar w:fldCharType="separate"/>
            </w:r>
            <w:r w:rsidR="008E1A37">
              <w:rPr>
                <w:webHidden/>
              </w:rPr>
              <w:t>16</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0" w:history="1">
            <w:r w:rsidR="008E1A37" w:rsidRPr="00A437B0">
              <w:rPr>
                <w:rStyle w:val="Hyperlink"/>
              </w:rPr>
              <w:t>Section 9: Challenging HDEC decisions</w:t>
            </w:r>
            <w:r w:rsidR="008E1A37">
              <w:rPr>
                <w:webHidden/>
              </w:rPr>
              <w:tab/>
            </w:r>
            <w:r w:rsidR="008E1A37">
              <w:rPr>
                <w:webHidden/>
              </w:rPr>
              <w:fldChar w:fldCharType="begin"/>
            </w:r>
            <w:r w:rsidR="008E1A37">
              <w:rPr>
                <w:webHidden/>
              </w:rPr>
              <w:instrText xml:space="preserve"> PAGEREF _Toc324258580 \h </w:instrText>
            </w:r>
            <w:r w:rsidR="008E1A37">
              <w:rPr>
                <w:webHidden/>
              </w:rPr>
            </w:r>
            <w:r w:rsidR="008E1A37">
              <w:rPr>
                <w:webHidden/>
              </w:rPr>
              <w:fldChar w:fldCharType="separate"/>
            </w:r>
            <w:r w:rsidR="008E1A37">
              <w:rPr>
                <w:webHidden/>
              </w:rPr>
              <w:t>16</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1" w:history="1">
            <w:r w:rsidR="008E1A37" w:rsidRPr="00A437B0">
              <w:rPr>
                <w:rStyle w:val="Hyperlink"/>
              </w:rPr>
              <w:t>Section 10: Locality review</w:t>
            </w:r>
            <w:r w:rsidR="008E1A37">
              <w:rPr>
                <w:webHidden/>
              </w:rPr>
              <w:tab/>
            </w:r>
            <w:r w:rsidR="008E1A37">
              <w:rPr>
                <w:webHidden/>
              </w:rPr>
              <w:fldChar w:fldCharType="begin"/>
            </w:r>
            <w:r w:rsidR="008E1A37">
              <w:rPr>
                <w:webHidden/>
              </w:rPr>
              <w:instrText xml:space="preserve"> PAGEREF _Toc324258581 \h </w:instrText>
            </w:r>
            <w:r w:rsidR="008E1A37">
              <w:rPr>
                <w:webHidden/>
              </w:rPr>
            </w:r>
            <w:r w:rsidR="008E1A37">
              <w:rPr>
                <w:webHidden/>
              </w:rPr>
              <w:fldChar w:fldCharType="separate"/>
            </w:r>
            <w:r w:rsidR="008E1A37">
              <w:rPr>
                <w:webHidden/>
              </w:rPr>
              <w:t>17</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2" w:history="1">
            <w:r w:rsidR="008E1A37" w:rsidRPr="00A437B0">
              <w:rPr>
                <w:rStyle w:val="Hyperlink"/>
              </w:rPr>
              <w:t>Section 11: Amendments to approved studies</w:t>
            </w:r>
            <w:r w:rsidR="008E1A37">
              <w:rPr>
                <w:webHidden/>
              </w:rPr>
              <w:tab/>
            </w:r>
            <w:r w:rsidR="008E1A37">
              <w:rPr>
                <w:webHidden/>
              </w:rPr>
              <w:fldChar w:fldCharType="begin"/>
            </w:r>
            <w:r w:rsidR="008E1A37">
              <w:rPr>
                <w:webHidden/>
              </w:rPr>
              <w:instrText xml:space="preserve"> PAGEREF _Toc324258582 \h </w:instrText>
            </w:r>
            <w:r w:rsidR="008E1A37">
              <w:rPr>
                <w:webHidden/>
              </w:rPr>
            </w:r>
            <w:r w:rsidR="008E1A37">
              <w:rPr>
                <w:webHidden/>
              </w:rPr>
              <w:fldChar w:fldCharType="separate"/>
            </w:r>
            <w:r w:rsidR="008E1A37">
              <w:rPr>
                <w:webHidden/>
              </w:rPr>
              <w:t>18</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3" w:history="1">
            <w:r w:rsidR="008E1A37" w:rsidRPr="00A437B0">
              <w:rPr>
                <w:rStyle w:val="Hyperlink"/>
              </w:rPr>
              <w:t>Section 12: Post-approval processes</w:t>
            </w:r>
            <w:r w:rsidR="008E1A37">
              <w:rPr>
                <w:webHidden/>
              </w:rPr>
              <w:tab/>
            </w:r>
            <w:r w:rsidR="008E1A37">
              <w:rPr>
                <w:webHidden/>
              </w:rPr>
              <w:fldChar w:fldCharType="begin"/>
            </w:r>
            <w:r w:rsidR="008E1A37">
              <w:rPr>
                <w:webHidden/>
              </w:rPr>
              <w:instrText xml:space="preserve"> PAGEREF _Toc324258583 \h </w:instrText>
            </w:r>
            <w:r w:rsidR="008E1A37">
              <w:rPr>
                <w:webHidden/>
              </w:rPr>
            </w:r>
            <w:r w:rsidR="008E1A37">
              <w:rPr>
                <w:webHidden/>
              </w:rPr>
              <w:fldChar w:fldCharType="separate"/>
            </w:r>
            <w:r w:rsidR="008E1A37">
              <w:rPr>
                <w:webHidden/>
              </w:rPr>
              <w:t>19</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4" w:history="1">
            <w:r w:rsidR="008E1A37" w:rsidRPr="00A437B0">
              <w:rPr>
                <w:rStyle w:val="Hyperlink"/>
              </w:rPr>
              <w:t>Section 13: HDEC review of tissue banks</w:t>
            </w:r>
            <w:r w:rsidR="008E1A37">
              <w:rPr>
                <w:webHidden/>
              </w:rPr>
              <w:tab/>
            </w:r>
            <w:r w:rsidR="008E1A37">
              <w:rPr>
                <w:webHidden/>
              </w:rPr>
              <w:fldChar w:fldCharType="begin"/>
            </w:r>
            <w:r w:rsidR="008E1A37">
              <w:rPr>
                <w:webHidden/>
              </w:rPr>
              <w:instrText xml:space="preserve"> PAGEREF _Toc324258584 \h </w:instrText>
            </w:r>
            <w:r w:rsidR="008E1A37">
              <w:rPr>
                <w:webHidden/>
              </w:rPr>
            </w:r>
            <w:r w:rsidR="008E1A37">
              <w:rPr>
                <w:webHidden/>
              </w:rPr>
              <w:fldChar w:fldCharType="separate"/>
            </w:r>
            <w:r w:rsidR="008E1A37">
              <w:rPr>
                <w:webHidden/>
              </w:rPr>
              <w:t>20</w:t>
            </w:r>
            <w:r w:rsidR="008E1A37">
              <w:rPr>
                <w:webHidden/>
              </w:rPr>
              <w:fldChar w:fldCharType="end"/>
            </w:r>
          </w:hyperlink>
        </w:p>
        <w:p w:rsidR="008E1A37" w:rsidRDefault="00DD5C4D">
          <w:pPr>
            <w:pStyle w:val="TOC1"/>
            <w:rPr>
              <w:rFonts w:asciiTheme="minorHAnsi" w:eastAsiaTheme="minorEastAsia" w:hAnsiTheme="minorHAnsi"/>
              <w:b w:val="0"/>
              <w:sz w:val="22"/>
              <w:lang w:eastAsia="en-NZ"/>
            </w:rPr>
          </w:pPr>
          <w:hyperlink w:anchor="_Toc324258585" w:history="1">
            <w:r w:rsidR="008E1A37" w:rsidRPr="00A437B0">
              <w:rPr>
                <w:rStyle w:val="Hyperlink"/>
              </w:rPr>
              <w:t>3.</w:t>
            </w:r>
            <w:r w:rsidR="008E1A37">
              <w:rPr>
                <w:rFonts w:asciiTheme="minorHAnsi" w:eastAsiaTheme="minorEastAsia" w:hAnsiTheme="minorHAnsi"/>
                <w:b w:val="0"/>
                <w:sz w:val="22"/>
                <w:lang w:eastAsia="en-NZ"/>
              </w:rPr>
              <w:tab/>
            </w:r>
            <w:r w:rsidR="008E1A37" w:rsidRPr="00A437B0">
              <w:rPr>
                <w:rStyle w:val="Hyperlink"/>
              </w:rPr>
              <w:t>Feedback on draft HDEC application form</w:t>
            </w:r>
            <w:r w:rsidR="008E1A37">
              <w:rPr>
                <w:webHidden/>
              </w:rPr>
              <w:tab/>
            </w:r>
            <w:r w:rsidR="008E1A37">
              <w:rPr>
                <w:webHidden/>
              </w:rPr>
              <w:fldChar w:fldCharType="begin"/>
            </w:r>
            <w:r w:rsidR="008E1A37">
              <w:rPr>
                <w:webHidden/>
              </w:rPr>
              <w:instrText xml:space="preserve"> PAGEREF _Toc324258585 \h </w:instrText>
            </w:r>
            <w:r w:rsidR="008E1A37">
              <w:rPr>
                <w:webHidden/>
              </w:rPr>
            </w:r>
            <w:r w:rsidR="008E1A37">
              <w:rPr>
                <w:webHidden/>
              </w:rPr>
              <w:fldChar w:fldCharType="separate"/>
            </w:r>
            <w:r w:rsidR="008E1A37">
              <w:rPr>
                <w:webHidden/>
              </w:rPr>
              <w:t>22</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6" w:history="1">
            <w:r w:rsidR="008E1A37" w:rsidRPr="00A437B0">
              <w:rPr>
                <w:rStyle w:val="Hyperlink"/>
              </w:rPr>
              <w:t>Overall comments</w:t>
            </w:r>
            <w:r w:rsidR="008E1A37">
              <w:rPr>
                <w:webHidden/>
              </w:rPr>
              <w:tab/>
            </w:r>
            <w:r w:rsidR="008E1A37">
              <w:rPr>
                <w:webHidden/>
              </w:rPr>
              <w:fldChar w:fldCharType="begin"/>
            </w:r>
            <w:r w:rsidR="008E1A37">
              <w:rPr>
                <w:webHidden/>
              </w:rPr>
              <w:instrText xml:space="preserve"> PAGEREF _Toc324258586 \h </w:instrText>
            </w:r>
            <w:r w:rsidR="008E1A37">
              <w:rPr>
                <w:webHidden/>
              </w:rPr>
            </w:r>
            <w:r w:rsidR="008E1A37">
              <w:rPr>
                <w:webHidden/>
              </w:rPr>
              <w:fldChar w:fldCharType="separate"/>
            </w:r>
            <w:r w:rsidR="008E1A37">
              <w:rPr>
                <w:webHidden/>
              </w:rPr>
              <w:t>22</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7" w:history="1">
            <w:r w:rsidR="008E1A37" w:rsidRPr="00A437B0">
              <w:rPr>
                <w:rStyle w:val="Hyperlink"/>
              </w:rPr>
              <w:t>X – Administrative section</w:t>
            </w:r>
            <w:r w:rsidR="008E1A37">
              <w:rPr>
                <w:webHidden/>
              </w:rPr>
              <w:tab/>
            </w:r>
            <w:r w:rsidR="008E1A37">
              <w:rPr>
                <w:webHidden/>
              </w:rPr>
              <w:fldChar w:fldCharType="begin"/>
            </w:r>
            <w:r w:rsidR="008E1A37">
              <w:rPr>
                <w:webHidden/>
              </w:rPr>
              <w:instrText xml:space="preserve"> PAGEREF _Toc324258587 \h </w:instrText>
            </w:r>
            <w:r w:rsidR="008E1A37">
              <w:rPr>
                <w:webHidden/>
              </w:rPr>
            </w:r>
            <w:r w:rsidR="008E1A37">
              <w:rPr>
                <w:webHidden/>
              </w:rPr>
              <w:fldChar w:fldCharType="separate"/>
            </w:r>
            <w:r w:rsidR="008E1A37">
              <w:rPr>
                <w:webHidden/>
              </w:rPr>
              <w:t>22</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8" w:history="1">
            <w:r w:rsidR="008E1A37" w:rsidRPr="00A437B0">
              <w:rPr>
                <w:rStyle w:val="Hyperlink"/>
              </w:rPr>
              <w:t>B – Research should produce benefits</w:t>
            </w:r>
            <w:r w:rsidR="008E1A37">
              <w:rPr>
                <w:webHidden/>
              </w:rPr>
              <w:tab/>
            </w:r>
            <w:r w:rsidR="008E1A37">
              <w:rPr>
                <w:webHidden/>
              </w:rPr>
              <w:fldChar w:fldCharType="begin"/>
            </w:r>
            <w:r w:rsidR="008E1A37">
              <w:rPr>
                <w:webHidden/>
              </w:rPr>
              <w:instrText xml:space="preserve"> PAGEREF _Toc324258588 \h </w:instrText>
            </w:r>
            <w:r w:rsidR="008E1A37">
              <w:rPr>
                <w:webHidden/>
              </w:rPr>
            </w:r>
            <w:r w:rsidR="008E1A37">
              <w:rPr>
                <w:webHidden/>
              </w:rPr>
              <w:fldChar w:fldCharType="separate"/>
            </w:r>
            <w:r w:rsidR="008E1A37">
              <w:rPr>
                <w:webHidden/>
              </w:rPr>
              <w:t>23</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89" w:history="1">
            <w:r w:rsidR="008E1A37" w:rsidRPr="00A437B0">
              <w:rPr>
                <w:rStyle w:val="Hyperlink"/>
              </w:rPr>
              <w:t>R – Research should minimise and manage risk</w:t>
            </w:r>
            <w:r w:rsidR="008E1A37">
              <w:rPr>
                <w:webHidden/>
              </w:rPr>
              <w:tab/>
            </w:r>
            <w:r w:rsidR="008E1A37">
              <w:rPr>
                <w:webHidden/>
              </w:rPr>
              <w:fldChar w:fldCharType="begin"/>
            </w:r>
            <w:r w:rsidR="008E1A37">
              <w:rPr>
                <w:webHidden/>
              </w:rPr>
              <w:instrText xml:space="preserve"> PAGEREF _Toc324258589 \h </w:instrText>
            </w:r>
            <w:r w:rsidR="008E1A37">
              <w:rPr>
                <w:webHidden/>
              </w:rPr>
            </w:r>
            <w:r w:rsidR="008E1A37">
              <w:rPr>
                <w:webHidden/>
              </w:rPr>
              <w:fldChar w:fldCharType="separate"/>
            </w:r>
            <w:r w:rsidR="008E1A37">
              <w:rPr>
                <w:webHidden/>
              </w:rPr>
              <w:t>23</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90" w:history="1">
            <w:r w:rsidR="008E1A37" w:rsidRPr="00A437B0">
              <w:rPr>
                <w:rStyle w:val="Hyperlink"/>
              </w:rPr>
              <w:t>P – Research should respect persons and populations</w:t>
            </w:r>
            <w:r w:rsidR="008E1A37">
              <w:rPr>
                <w:webHidden/>
              </w:rPr>
              <w:tab/>
            </w:r>
            <w:r w:rsidR="008E1A37">
              <w:rPr>
                <w:webHidden/>
              </w:rPr>
              <w:fldChar w:fldCharType="begin"/>
            </w:r>
            <w:r w:rsidR="008E1A37">
              <w:rPr>
                <w:webHidden/>
              </w:rPr>
              <w:instrText xml:space="preserve"> PAGEREF _Toc324258590 \h </w:instrText>
            </w:r>
            <w:r w:rsidR="008E1A37">
              <w:rPr>
                <w:webHidden/>
              </w:rPr>
            </w:r>
            <w:r w:rsidR="008E1A37">
              <w:rPr>
                <w:webHidden/>
              </w:rPr>
              <w:fldChar w:fldCharType="separate"/>
            </w:r>
            <w:r w:rsidR="008E1A37">
              <w:rPr>
                <w:webHidden/>
              </w:rPr>
              <w:t>23</w:t>
            </w:r>
            <w:r w:rsidR="008E1A37">
              <w:rPr>
                <w:webHidden/>
              </w:rPr>
              <w:fldChar w:fldCharType="end"/>
            </w:r>
          </w:hyperlink>
        </w:p>
        <w:p w:rsidR="008E1A37" w:rsidRDefault="00DD5C4D">
          <w:pPr>
            <w:pStyle w:val="TOC2"/>
            <w:rPr>
              <w:rFonts w:asciiTheme="minorHAnsi" w:eastAsiaTheme="minorEastAsia" w:hAnsiTheme="minorHAnsi"/>
              <w:sz w:val="22"/>
              <w:lang w:eastAsia="en-NZ"/>
            </w:rPr>
          </w:pPr>
          <w:hyperlink w:anchor="_Toc324258591" w:history="1">
            <w:r w:rsidR="008E1A37" w:rsidRPr="00A437B0">
              <w:rPr>
                <w:rStyle w:val="Hyperlink"/>
              </w:rPr>
              <w:t>F – Research should be fair</w:t>
            </w:r>
            <w:r w:rsidR="008E1A37">
              <w:rPr>
                <w:webHidden/>
              </w:rPr>
              <w:tab/>
            </w:r>
            <w:r w:rsidR="008E1A37">
              <w:rPr>
                <w:webHidden/>
              </w:rPr>
              <w:fldChar w:fldCharType="begin"/>
            </w:r>
            <w:r w:rsidR="008E1A37">
              <w:rPr>
                <w:webHidden/>
              </w:rPr>
              <w:instrText xml:space="preserve"> PAGEREF _Toc324258591 \h </w:instrText>
            </w:r>
            <w:r w:rsidR="008E1A37">
              <w:rPr>
                <w:webHidden/>
              </w:rPr>
            </w:r>
            <w:r w:rsidR="008E1A37">
              <w:rPr>
                <w:webHidden/>
              </w:rPr>
              <w:fldChar w:fldCharType="separate"/>
            </w:r>
            <w:r w:rsidR="008E1A37">
              <w:rPr>
                <w:webHidden/>
              </w:rPr>
              <w:t>24</w:t>
            </w:r>
            <w:r w:rsidR="008E1A37">
              <w:rPr>
                <w:webHidden/>
              </w:rPr>
              <w:fldChar w:fldCharType="end"/>
            </w:r>
          </w:hyperlink>
        </w:p>
        <w:p w:rsidR="00B71650" w:rsidRDefault="00B14B81" w:rsidP="00B71650">
          <w:r>
            <w:rPr>
              <w:noProof/>
              <w:sz w:val="26"/>
            </w:rPr>
            <w:fldChar w:fldCharType="end"/>
          </w:r>
        </w:p>
      </w:sdtContent>
    </w:sdt>
    <w:p w:rsidR="00B71650" w:rsidRDefault="00B71650" w:rsidP="00B71650">
      <w:pPr>
        <w:pStyle w:val="TOC2"/>
      </w:pPr>
      <w:r>
        <w:br w:type="page"/>
      </w:r>
    </w:p>
    <w:p w:rsidR="00B71650" w:rsidRDefault="00B71650" w:rsidP="00901AA6">
      <w:pPr>
        <w:pStyle w:val="Heading1"/>
        <w:numPr>
          <w:ilvl w:val="0"/>
          <w:numId w:val="10"/>
        </w:numPr>
        <w:ind w:left="360"/>
      </w:pPr>
      <w:bookmarkStart w:id="0" w:name="_Toc324258567"/>
      <w:r>
        <w:t>Background</w:t>
      </w:r>
      <w:bookmarkEnd w:id="0"/>
    </w:p>
    <w:p w:rsidR="00B14B81" w:rsidRDefault="00B14B81" w:rsidP="00B14B81">
      <w:r>
        <w:t>In February 2010</w:t>
      </w:r>
      <w:r w:rsidR="00B71650">
        <w:t xml:space="preserve">, the Health Select Committee </w:t>
      </w:r>
      <w:r>
        <w:t xml:space="preserve">opened an </w:t>
      </w:r>
      <w:hyperlink r:id="rId10" w:history="1">
        <w:r w:rsidRPr="00F02941">
          <w:rPr>
            <w:rStyle w:val="Hyperlink"/>
          </w:rPr>
          <w:t>inquiry</w:t>
        </w:r>
      </w:hyperlink>
      <w:r w:rsidR="00B71650" w:rsidRPr="00B14B81">
        <w:t xml:space="preserve"> into improving New Zealand’s environment to support innovation through clinical trials</w:t>
      </w:r>
      <w:r w:rsidR="00B71650">
        <w:t xml:space="preserve">.  </w:t>
      </w:r>
      <w:r>
        <w:t xml:space="preserve">The inquiry </w:t>
      </w:r>
      <w:r w:rsidR="0084594D">
        <w:t>considered</w:t>
      </w:r>
      <w:r>
        <w:t xml:space="preserve"> ways to ensure:</w:t>
      </w:r>
    </w:p>
    <w:p w:rsidR="00B14B81" w:rsidRDefault="00B14B81" w:rsidP="0084594D">
      <w:pPr>
        <w:pStyle w:val="ListParagraph"/>
      </w:pPr>
    </w:p>
    <w:p w:rsidR="0084594D" w:rsidRDefault="0084594D" w:rsidP="0084594D">
      <w:pPr>
        <w:pStyle w:val="ListParagraph"/>
        <w:numPr>
          <w:ilvl w:val="0"/>
          <w:numId w:val="4"/>
        </w:numPr>
      </w:pPr>
      <w:r w:rsidRPr="0084594D">
        <w:t xml:space="preserve">coordinated, nationwide approaches to clinical trials and performance measures; </w:t>
      </w:r>
    </w:p>
    <w:p w:rsidR="0084594D" w:rsidRDefault="0084594D" w:rsidP="0084594D">
      <w:pPr>
        <w:pStyle w:val="ListParagraph"/>
        <w:numPr>
          <w:ilvl w:val="0"/>
          <w:numId w:val="4"/>
        </w:numPr>
      </w:pPr>
      <w:r w:rsidRPr="0084594D">
        <w:t xml:space="preserve">streamlined ethics approvals systems; </w:t>
      </w:r>
    </w:p>
    <w:p w:rsidR="0084594D" w:rsidRDefault="0084594D" w:rsidP="0084594D">
      <w:pPr>
        <w:pStyle w:val="ListParagraph"/>
        <w:numPr>
          <w:ilvl w:val="0"/>
          <w:numId w:val="4"/>
        </w:numPr>
      </w:pPr>
      <w:r w:rsidRPr="0084594D">
        <w:t xml:space="preserve">national patient referral networks, and better ways to approve, establish and conduct clinical trials; </w:t>
      </w:r>
    </w:p>
    <w:p w:rsidR="0084594D" w:rsidRDefault="0084594D" w:rsidP="0084594D">
      <w:pPr>
        <w:pStyle w:val="ListParagraph"/>
        <w:numPr>
          <w:ilvl w:val="0"/>
          <w:numId w:val="4"/>
        </w:numPr>
      </w:pPr>
      <w:r w:rsidRPr="0084594D">
        <w:t xml:space="preserve">removal of unnecessary barriers; </w:t>
      </w:r>
    </w:p>
    <w:p w:rsidR="0084594D" w:rsidRDefault="0084594D" w:rsidP="0084594D">
      <w:pPr>
        <w:pStyle w:val="ListParagraph"/>
        <w:numPr>
          <w:ilvl w:val="0"/>
          <w:numId w:val="4"/>
        </w:numPr>
      </w:pPr>
      <w:proofErr w:type="gramStart"/>
      <w:r w:rsidRPr="0084594D">
        <w:t>and</w:t>
      </w:r>
      <w:proofErr w:type="gramEnd"/>
      <w:r w:rsidRPr="0084594D">
        <w:t xml:space="preserve"> benefit to New Zealand patients through clinical trials, as well as the New Zealand innovation system, health system, and economy.</w:t>
      </w:r>
    </w:p>
    <w:p w:rsidR="00B14B81" w:rsidRDefault="00B14B81" w:rsidP="00B14B81"/>
    <w:p w:rsidR="00B71650" w:rsidRDefault="00B14B81" w:rsidP="00B71650">
      <w:r>
        <w:t xml:space="preserve">In June 2011, the Health Committee </w:t>
      </w:r>
      <w:r w:rsidR="0084594D">
        <w:t xml:space="preserve">completed its inquiry and </w:t>
      </w:r>
      <w:r w:rsidR="00FF689E">
        <w:t>made a number of</w:t>
      </w:r>
      <w:r>
        <w:t xml:space="preserve"> </w:t>
      </w:r>
      <w:hyperlink r:id="rId11" w:history="1">
        <w:r w:rsidRPr="00F02941">
          <w:rPr>
            <w:rStyle w:val="Hyperlink"/>
          </w:rPr>
          <w:t>recommendations</w:t>
        </w:r>
      </w:hyperlink>
      <w:r>
        <w:t xml:space="preserve"> to the Government </w:t>
      </w:r>
      <w:r w:rsidR="00F02941">
        <w:t xml:space="preserve">on how these goals could </w:t>
      </w:r>
      <w:r w:rsidR="0084594D">
        <w:t xml:space="preserve">best </w:t>
      </w:r>
      <w:r w:rsidR="00F02941">
        <w:t xml:space="preserve">be achieved, </w:t>
      </w:r>
      <w:r w:rsidR="0084594D">
        <w:t>including</w:t>
      </w:r>
      <w:r w:rsidR="00F02941">
        <w:t xml:space="preserve"> how </w:t>
      </w:r>
      <w:r w:rsidR="0084594D">
        <w:t xml:space="preserve">best </w:t>
      </w:r>
      <w:r w:rsidR="00F02941">
        <w:t>to</w:t>
      </w:r>
      <w:r>
        <w:t xml:space="preserve"> improve the operation of the health and disability ethics committees (HDECs</w:t>
      </w:r>
      <w:r w:rsidR="00F02941">
        <w:t>)</w:t>
      </w:r>
      <w:r>
        <w:t xml:space="preserve">.  </w:t>
      </w:r>
    </w:p>
    <w:p w:rsidR="00B71650" w:rsidRDefault="00B71650" w:rsidP="00B71650"/>
    <w:p w:rsidR="00B71650" w:rsidRDefault="00B71650" w:rsidP="00B71650">
      <w:pPr>
        <w:rPr>
          <w:lang w:val="en-AU"/>
        </w:rPr>
      </w:pPr>
      <w:r>
        <w:t xml:space="preserve">In September 2011, </w:t>
      </w:r>
      <w:r w:rsidR="00FF689E">
        <w:t>the G</w:t>
      </w:r>
      <w:r>
        <w:t xml:space="preserve">overnment </w:t>
      </w:r>
      <w:hyperlink r:id="rId12" w:history="1">
        <w:r w:rsidR="00FF689E" w:rsidRPr="00A94919">
          <w:rPr>
            <w:rStyle w:val="Hyperlink"/>
          </w:rPr>
          <w:t>accepted</w:t>
        </w:r>
      </w:hyperlink>
      <w:r w:rsidR="00FF689E">
        <w:t xml:space="preserve"> most of the Health Committee’s recommendations, and </w:t>
      </w:r>
      <w:r>
        <w:t xml:space="preserve">announced a number of </w:t>
      </w:r>
      <w:r w:rsidR="00FF689E">
        <w:t xml:space="preserve">changes </w:t>
      </w:r>
      <w:r w:rsidR="0084594D">
        <w:t xml:space="preserve">to the HDECs </w:t>
      </w:r>
      <w:r w:rsidR="00A94919">
        <w:t xml:space="preserve">with effect </w:t>
      </w:r>
      <w:r w:rsidR="00FF689E">
        <w:t xml:space="preserve">from </w:t>
      </w:r>
      <w:r w:rsidR="00B91CEB">
        <w:t xml:space="preserve">1 </w:t>
      </w:r>
      <w:r w:rsidR="00FF689E">
        <w:t>July 2012.  These changes included</w:t>
      </w:r>
      <w:r w:rsidR="005973CA">
        <w:rPr>
          <w:lang w:val="en-AU"/>
        </w:rPr>
        <w:t>:</w:t>
      </w:r>
    </w:p>
    <w:p w:rsidR="00FF689E" w:rsidRDefault="00FF689E" w:rsidP="00B71650">
      <w:pPr>
        <w:rPr>
          <w:lang w:val="en-AU"/>
        </w:rPr>
      </w:pPr>
    </w:p>
    <w:p w:rsidR="00FF689E" w:rsidRDefault="00FF689E" w:rsidP="00901AA6">
      <w:pPr>
        <w:pStyle w:val="ListParagraph"/>
        <w:numPr>
          <w:ilvl w:val="0"/>
          <w:numId w:val="3"/>
        </w:numPr>
        <w:rPr>
          <w:lang w:eastAsia="en-NZ"/>
        </w:rPr>
      </w:pPr>
      <w:proofErr w:type="gramStart"/>
      <w:r>
        <w:rPr>
          <w:lang w:eastAsia="en-NZ"/>
        </w:rPr>
        <w:t>new</w:t>
      </w:r>
      <w:proofErr w:type="gramEnd"/>
      <w:r>
        <w:rPr>
          <w:lang w:eastAsia="en-NZ"/>
        </w:rPr>
        <w:t xml:space="preserve"> procedural rules to better defin</w:t>
      </w:r>
      <w:r w:rsidR="00B91CEB">
        <w:rPr>
          <w:lang w:eastAsia="en-NZ"/>
        </w:rPr>
        <w:t>e the HDEC review process.  These procedural rules</w:t>
      </w:r>
      <w:r>
        <w:rPr>
          <w:lang w:eastAsia="en-NZ"/>
        </w:rPr>
        <w:t xml:space="preserve"> would:</w:t>
      </w:r>
    </w:p>
    <w:p w:rsidR="0084594D" w:rsidRDefault="0084594D" w:rsidP="0084594D">
      <w:pPr>
        <w:pStyle w:val="ListParagraph"/>
        <w:rPr>
          <w:lang w:eastAsia="en-NZ"/>
        </w:rPr>
      </w:pPr>
    </w:p>
    <w:p w:rsidR="00FF689E" w:rsidRDefault="00FF689E" w:rsidP="00FF689E">
      <w:pPr>
        <w:pStyle w:val="ListParagraph"/>
        <w:numPr>
          <w:ilvl w:val="1"/>
          <w:numId w:val="3"/>
        </w:numPr>
        <w:rPr>
          <w:lang w:eastAsia="en-NZ"/>
        </w:rPr>
      </w:pPr>
      <w:r>
        <w:rPr>
          <w:lang w:eastAsia="en-NZ"/>
        </w:rPr>
        <w:t>introduce timelines for both full review (35 days) and expedited review (15 days)</w:t>
      </w:r>
    </w:p>
    <w:p w:rsidR="00FF689E" w:rsidRDefault="00FF689E" w:rsidP="00FF689E">
      <w:pPr>
        <w:pStyle w:val="ListParagraph"/>
        <w:numPr>
          <w:ilvl w:val="1"/>
          <w:numId w:val="3"/>
        </w:numPr>
        <w:rPr>
          <w:lang w:eastAsia="en-NZ"/>
        </w:rPr>
      </w:pPr>
      <w:r>
        <w:rPr>
          <w:lang w:eastAsia="en-NZ"/>
        </w:rPr>
        <w:t xml:space="preserve">allow some clinical trials to be reviewed by </w:t>
      </w:r>
      <w:r w:rsidR="00B91CEB">
        <w:rPr>
          <w:lang w:eastAsia="en-NZ"/>
        </w:rPr>
        <w:t xml:space="preserve">the </w:t>
      </w:r>
      <w:r>
        <w:rPr>
          <w:lang w:eastAsia="en-NZ"/>
        </w:rPr>
        <w:t>expedited review pathway, on the basis of risk</w:t>
      </w:r>
    </w:p>
    <w:p w:rsidR="00FF689E" w:rsidRDefault="00FF689E" w:rsidP="00FF689E">
      <w:pPr>
        <w:pStyle w:val="ListParagraph"/>
        <w:numPr>
          <w:ilvl w:val="1"/>
          <w:numId w:val="3"/>
        </w:numPr>
        <w:rPr>
          <w:lang w:eastAsia="en-NZ"/>
        </w:rPr>
      </w:pPr>
      <w:r>
        <w:rPr>
          <w:lang w:eastAsia="en-NZ"/>
        </w:rPr>
        <w:t>clarify and reduce the scope of HDEC review to allow a greater focus on higher-risk studies</w:t>
      </w:r>
    </w:p>
    <w:p w:rsidR="00FF689E" w:rsidRDefault="00B91CEB" w:rsidP="00FF689E">
      <w:pPr>
        <w:pStyle w:val="ListParagraph"/>
        <w:numPr>
          <w:ilvl w:val="1"/>
          <w:numId w:val="3"/>
        </w:numPr>
        <w:rPr>
          <w:lang w:eastAsia="en-NZ"/>
        </w:rPr>
      </w:pPr>
      <w:r>
        <w:rPr>
          <w:lang w:eastAsia="en-NZ"/>
        </w:rPr>
        <w:t xml:space="preserve">more </w:t>
      </w:r>
      <w:r w:rsidR="00FF689E">
        <w:rPr>
          <w:lang w:eastAsia="en-NZ"/>
        </w:rPr>
        <w:t>clearly define when amendments to approved studies themselves require review</w:t>
      </w:r>
    </w:p>
    <w:p w:rsidR="00FF689E" w:rsidRDefault="00B91CEB" w:rsidP="00FF689E">
      <w:pPr>
        <w:pStyle w:val="ListParagraph"/>
        <w:numPr>
          <w:ilvl w:val="1"/>
          <w:numId w:val="3"/>
        </w:numPr>
        <w:rPr>
          <w:lang w:eastAsia="en-NZ"/>
        </w:rPr>
      </w:pPr>
      <w:r>
        <w:rPr>
          <w:lang w:eastAsia="en-NZ"/>
        </w:rPr>
        <w:t>reduce duplication between HDECs, SCOTT, and other parties to research, and clarify that the HDECs’ role is to check that research has been peer-reviewed (rather than doi</w:t>
      </w:r>
      <w:r w:rsidR="00F02941">
        <w:rPr>
          <w:lang w:eastAsia="en-NZ"/>
        </w:rPr>
        <w:t>ng this peer review themselves)</w:t>
      </w:r>
    </w:p>
    <w:p w:rsidR="00F02941" w:rsidRDefault="00F02941" w:rsidP="00F02941">
      <w:pPr>
        <w:pStyle w:val="ListParagraph"/>
        <w:ind w:left="1440"/>
        <w:rPr>
          <w:lang w:eastAsia="en-NZ"/>
        </w:rPr>
      </w:pPr>
    </w:p>
    <w:p w:rsidR="00FF689E" w:rsidRDefault="00FF689E" w:rsidP="00FF689E">
      <w:pPr>
        <w:pStyle w:val="ListParagraph"/>
        <w:numPr>
          <w:ilvl w:val="0"/>
          <w:numId w:val="3"/>
        </w:numPr>
        <w:rPr>
          <w:lang w:eastAsia="en-NZ"/>
        </w:rPr>
      </w:pPr>
      <w:r>
        <w:rPr>
          <w:lang w:eastAsia="en-NZ"/>
        </w:rPr>
        <w:t>a shorter, simpler application form</w:t>
      </w:r>
    </w:p>
    <w:p w:rsidR="00F02941" w:rsidRDefault="00F02941" w:rsidP="00F02941">
      <w:pPr>
        <w:pStyle w:val="ListParagraph"/>
        <w:rPr>
          <w:lang w:eastAsia="en-NZ"/>
        </w:rPr>
      </w:pPr>
    </w:p>
    <w:p w:rsidR="00FF689E" w:rsidRDefault="00FF689E" w:rsidP="00FF689E">
      <w:pPr>
        <w:pStyle w:val="ListParagraph"/>
        <w:numPr>
          <w:ilvl w:val="0"/>
          <w:numId w:val="3"/>
        </w:numPr>
        <w:rPr>
          <w:lang w:eastAsia="en-NZ"/>
        </w:rPr>
      </w:pPr>
      <w:r>
        <w:rPr>
          <w:lang w:eastAsia="en-NZ"/>
        </w:rPr>
        <w:t>an online application system</w:t>
      </w:r>
    </w:p>
    <w:p w:rsidR="00F02941" w:rsidRDefault="00F02941" w:rsidP="00F02941">
      <w:pPr>
        <w:rPr>
          <w:lang w:eastAsia="en-NZ"/>
        </w:rPr>
      </w:pPr>
    </w:p>
    <w:p w:rsidR="00FF689E" w:rsidRDefault="00FF689E" w:rsidP="00FF689E">
      <w:pPr>
        <w:pStyle w:val="ListParagraph"/>
        <w:numPr>
          <w:ilvl w:val="0"/>
          <w:numId w:val="3"/>
        </w:numPr>
        <w:rPr>
          <w:lang w:eastAsia="en-NZ"/>
        </w:rPr>
      </w:pPr>
      <w:proofErr w:type="gramStart"/>
      <w:r>
        <w:rPr>
          <w:lang w:eastAsia="en-NZ"/>
        </w:rPr>
        <w:t>a</w:t>
      </w:r>
      <w:proofErr w:type="gramEnd"/>
      <w:r>
        <w:rPr>
          <w:lang w:eastAsia="en-NZ"/>
        </w:rPr>
        <w:t xml:space="preserve"> reduction in the number and size of HDECs</w:t>
      </w:r>
      <w:r w:rsidR="00B91CEB">
        <w:rPr>
          <w:lang w:eastAsia="en-NZ"/>
        </w:rPr>
        <w:t>.</w:t>
      </w:r>
    </w:p>
    <w:p w:rsidR="00B71650" w:rsidRPr="0054435B" w:rsidRDefault="00B71650" w:rsidP="00B71650"/>
    <w:p w:rsidR="00B91CEB" w:rsidRDefault="00B71650" w:rsidP="00B71650">
      <w:r>
        <w:t>T</w:t>
      </w:r>
      <w:r w:rsidR="00C24D4D">
        <w:t xml:space="preserve">o give effect to </w:t>
      </w:r>
      <w:r w:rsidR="004465E1">
        <w:t>these</w:t>
      </w:r>
      <w:r w:rsidR="00B91CEB">
        <w:t xml:space="preserve"> </w:t>
      </w:r>
      <w:r w:rsidR="00C24D4D">
        <w:t>decisions, t</w:t>
      </w:r>
      <w:r>
        <w:t xml:space="preserve">he Ministry </w:t>
      </w:r>
      <w:r w:rsidR="00B91CEB">
        <w:t xml:space="preserve">worked with HDEC Chairs during September and October 2011 to develop </w:t>
      </w:r>
      <w:r w:rsidR="004465E1">
        <w:t xml:space="preserve">draft </w:t>
      </w:r>
      <w:r w:rsidR="00B91CEB">
        <w:t xml:space="preserve">procedural rules, called </w:t>
      </w:r>
      <w:r w:rsidR="00B91CEB">
        <w:rPr>
          <w:i/>
        </w:rPr>
        <w:t xml:space="preserve">Standard Operating Procedures for Health and Disability Ethics Committees </w:t>
      </w:r>
      <w:r w:rsidR="00B91CEB">
        <w:t xml:space="preserve">(or “SOPs for HDECs”), and a </w:t>
      </w:r>
      <w:r w:rsidR="004465E1">
        <w:t xml:space="preserve">draft </w:t>
      </w:r>
      <w:r w:rsidR="00B91CEB">
        <w:t>application form for HDEC review.</w:t>
      </w:r>
    </w:p>
    <w:p w:rsidR="00B91CEB" w:rsidRDefault="00B91CEB" w:rsidP="00B71650"/>
    <w:p w:rsidR="00B91CEB" w:rsidRDefault="00B91CEB" w:rsidP="00B71650">
      <w:r>
        <w:t xml:space="preserve">Drafts of these </w:t>
      </w:r>
      <w:r w:rsidR="00AF7D9D">
        <w:t xml:space="preserve">two </w:t>
      </w:r>
      <w:r>
        <w:t xml:space="preserve">documents were circulated to the National Ethics Advisory Committee (NEAC) and the Health Research Council’s Ethics Committee (HRCEC) </w:t>
      </w:r>
      <w:r w:rsidR="0084594D">
        <w:t xml:space="preserve">in November 2011 </w:t>
      </w:r>
      <w:r>
        <w:t>for comme</w:t>
      </w:r>
      <w:r w:rsidR="0084594D">
        <w:t>nt</w:t>
      </w:r>
      <w:r w:rsidR="00AF7D9D">
        <w:t>.</w:t>
      </w:r>
    </w:p>
    <w:p w:rsidR="00AF7D9D" w:rsidRDefault="00AF7D9D" w:rsidP="00B71650"/>
    <w:p w:rsidR="00AF7D9D" w:rsidRDefault="00AF7D9D" w:rsidP="00AF7D9D">
      <w:r>
        <w:t>The two draft documents were made available on the current HDECs’ website (</w:t>
      </w:r>
      <w:hyperlink r:id="rId13" w:history="1">
        <w:r w:rsidRPr="00052EEA">
          <w:rPr>
            <w:rStyle w:val="Hyperlink"/>
          </w:rPr>
          <w:t>www.ethicscommittees.health.govt.nz</w:t>
        </w:r>
      </w:hyperlink>
      <w:r>
        <w:t>) from 23 December</w:t>
      </w:r>
      <w:r w:rsidR="00A061F4">
        <w:t xml:space="preserve"> 2011, along with a form for provid</w:t>
      </w:r>
      <w:r>
        <w:t>ing feedback on them.  A number of key stakeholders were notified of the draft documents and the public submission process.  The Ministry met in January with representatives of institutional ethics committees (IECs) and DHB research offices to discuss the draft documents.</w:t>
      </w:r>
    </w:p>
    <w:p w:rsidR="00AF7D9D" w:rsidRDefault="00AF7D9D" w:rsidP="00AF7D9D"/>
    <w:p w:rsidR="0084594D" w:rsidRDefault="00AF7D9D" w:rsidP="00AF7D9D">
      <w:r>
        <w:t>The close-off date for submission</w:t>
      </w:r>
      <w:r w:rsidR="0084594D">
        <w:t>s was 10 February 2012.  Seven</w:t>
      </w:r>
      <w:r>
        <w:t xml:space="preserve"> subm</w:t>
      </w:r>
      <w:r w:rsidR="0084594D">
        <w:t>issions were accepted after this</w:t>
      </w:r>
      <w:r>
        <w:t xml:space="preserve"> date.  </w:t>
      </w:r>
    </w:p>
    <w:p w:rsidR="0084594D" w:rsidRDefault="0084594D" w:rsidP="00AF7D9D"/>
    <w:p w:rsidR="00B71650" w:rsidRDefault="00AF7D9D" w:rsidP="00B71650">
      <w:r>
        <w:t>Ministry officials met with a representative of the New Zealand Law Society in March 2012 to discuss their submission</w:t>
      </w:r>
      <w:r w:rsidR="0084594D">
        <w:t>, which had since been made public</w:t>
      </w:r>
      <w:r>
        <w:t xml:space="preserve">. </w:t>
      </w:r>
    </w:p>
    <w:p w:rsidR="00B71650" w:rsidRPr="00135A06" w:rsidRDefault="00B71650" w:rsidP="00B71650"/>
    <w:p w:rsidR="00B71650" w:rsidRDefault="006E73CE" w:rsidP="005973CA">
      <w:pPr>
        <w:pStyle w:val="Heading2"/>
      </w:pPr>
      <w:bookmarkStart w:id="1" w:name="_Toc324258568"/>
      <w:r>
        <w:t>Overview of submitters and s</w:t>
      </w:r>
      <w:r w:rsidR="00B71650">
        <w:t>ubmissions</w:t>
      </w:r>
      <w:bookmarkEnd w:id="1"/>
    </w:p>
    <w:p w:rsidR="00B71650" w:rsidRDefault="0084594D" w:rsidP="00B71650">
      <w:r>
        <w:t>A total of f</w:t>
      </w:r>
      <w:r w:rsidR="00AF7D9D">
        <w:t>ifty-one</w:t>
      </w:r>
      <w:r w:rsidR="00B71650">
        <w:t xml:space="preserve"> submissions </w:t>
      </w:r>
      <w:r w:rsidR="00AF7D9D">
        <w:t xml:space="preserve">were received </w:t>
      </w:r>
      <w:r w:rsidR="00B71650">
        <w:t>on</w:t>
      </w:r>
      <w:r w:rsidR="00AF7D9D">
        <w:t xml:space="preserve"> the two draft documents, from a range of different stakeholders.</w:t>
      </w:r>
      <w:r w:rsidR="008B4EAD">
        <w:t xml:space="preserve">  </w:t>
      </w:r>
    </w:p>
    <w:p w:rsidR="0084594D" w:rsidRDefault="0084594D" w:rsidP="00B71650"/>
    <w:p w:rsidR="00B71650" w:rsidRDefault="00B71650" w:rsidP="00B71650"/>
    <w:tbl>
      <w:tblPr>
        <w:tblStyle w:val="LightList-Accent5"/>
        <w:tblW w:w="0" w:type="auto"/>
        <w:tblInd w:w="108" w:type="dxa"/>
        <w:tblLook w:val="04A0" w:firstRow="1" w:lastRow="0" w:firstColumn="1" w:lastColumn="0" w:noHBand="0" w:noVBand="1"/>
      </w:tblPr>
      <w:tblGrid>
        <w:gridCol w:w="3685"/>
        <w:gridCol w:w="1843"/>
        <w:gridCol w:w="1843"/>
      </w:tblGrid>
      <w:tr w:rsidR="00B71650" w:rsidRPr="00C93143" w:rsidTr="00A061F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685" w:type="dxa"/>
          </w:tcPr>
          <w:p w:rsidR="00B71650" w:rsidRPr="00C93143" w:rsidRDefault="00B71650" w:rsidP="005973CA">
            <w:pPr>
              <w:rPr>
                <w:b w:val="0"/>
              </w:rPr>
            </w:pPr>
            <w:r w:rsidRPr="00C93143">
              <w:rPr>
                <w:b w:val="0"/>
              </w:rPr>
              <w:t>Source of submission</w:t>
            </w:r>
          </w:p>
        </w:tc>
        <w:tc>
          <w:tcPr>
            <w:tcW w:w="1843" w:type="dxa"/>
          </w:tcPr>
          <w:p w:rsidR="00B71650" w:rsidRPr="00C93143" w:rsidRDefault="00B71650" w:rsidP="005973CA">
            <w:pPr>
              <w:jc w:val="center"/>
              <w:cnfStyle w:val="100000000000" w:firstRow="1" w:lastRow="0" w:firstColumn="0" w:lastColumn="0" w:oddVBand="0" w:evenVBand="0" w:oddHBand="0" w:evenHBand="0" w:firstRowFirstColumn="0" w:firstRowLastColumn="0" w:lastRowFirstColumn="0" w:lastRowLastColumn="0"/>
              <w:rPr>
                <w:b w:val="0"/>
              </w:rPr>
            </w:pPr>
            <w:r w:rsidRPr="00C93143">
              <w:rPr>
                <w:b w:val="0"/>
              </w:rPr>
              <w:t>Number</w:t>
            </w:r>
            <w:r>
              <w:rPr>
                <w:b w:val="0"/>
              </w:rPr>
              <w:t xml:space="preserve"> of responses</w:t>
            </w:r>
          </w:p>
        </w:tc>
        <w:tc>
          <w:tcPr>
            <w:tcW w:w="1843" w:type="dxa"/>
          </w:tcPr>
          <w:p w:rsidR="00B71650" w:rsidRPr="00C93143" w:rsidRDefault="00B71650" w:rsidP="005973CA">
            <w:pPr>
              <w:jc w:val="center"/>
              <w:cnfStyle w:val="100000000000" w:firstRow="1" w:lastRow="0" w:firstColumn="0" w:lastColumn="0" w:oddVBand="0" w:evenVBand="0" w:oddHBand="0" w:evenHBand="0" w:firstRowFirstColumn="0" w:firstRowLastColumn="0" w:lastRowFirstColumn="0" w:lastRowLastColumn="0"/>
              <w:rPr>
                <w:b w:val="0"/>
              </w:rPr>
            </w:pPr>
            <w:r w:rsidRPr="00C93143">
              <w:rPr>
                <w:b w:val="0"/>
              </w:rPr>
              <w:t>%</w:t>
            </w:r>
            <w:r>
              <w:rPr>
                <w:b w:val="0"/>
              </w:rPr>
              <w:t xml:space="preserve"> of total responses</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research organisation</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t>9</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t>17</w:t>
            </w:r>
            <w:r w:rsidRPr="00EA56A1">
              <w:t>.6%</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academic institution/department</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7</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t>13.8</w:t>
            </w:r>
            <w:r w:rsidRPr="00EA56A1">
              <w:t>%</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researcher</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6</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t>11.8</w:t>
            </w:r>
            <w:r w:rsidRPr="00EA56A1">
              <w:t>%</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HDEC member</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5</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9.8%</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research sponsor</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5</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9.8%</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DHB office</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t>5</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t>9</w:t>
            </w:r>
            <w:r w:rsidRPr="00EA56A1">
              <w:t>.8%</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consumer organisation</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3</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5.8%</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government body</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3</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t>5.9</w:t>
            </w:r>
            <w:r w:rsidRPr="00EA56A1">
              <w:t>%</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IEC or IEC member</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3</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t>5.9</w:t>
            </w:r>
            <w:r w:rsidRPr="00EA56A1">
              <w:t>%</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Māori review office</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3</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t>5.9</w:t>
            </w:r>
            <w:r w:rsidRPr="00EA56A1">
              <w:t>%</w:t>
            </w:r>
          </w:p>
        </w:tc>
      </w:tr>
      <w:tr w:rsidR="00B71650" w:rsidTr="00A06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professional body</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2</w:t>
            </w:r>
          </w:p>
        </w:tc>
        <w:tc>
          <w:tcPr>
            <w:tcW w:w="1843" w:type="dxa"/>
          </w:tcPr>
          <w:p w:rsidR="00B71650" w:rsidRPr="00EA56A1" w:rsidRDefault="00B71650" w:rsidP="005973CA">
            <w:pPr>
              <w:jc w:val="center"/>
              <w:cnfStyle w:val="000000100000" w:firstRow="0" w:lastRow="0" w:firstColumn="0" w:lastColumn="0" w:oddVBand="0" w:evenVBand="0" w:oddHBand="1" w:evenHBand="0" w:firstRowFirstColumn="0" w:firstRowLastColumn="0" w:lastRowFirstColumn="0" w:lastRowLastColumn="0"/>
            </w:pPr>
            <w:r w:rsidRPr="00EA56A1">
              <w:t>3.9%</w:t>
            </w:r>
          </w:p>
        </w:tc>
      </w:tr>
      <w:tr w:rsidR="00B71650" w:rsidTr="00A061F4">
        <w:trPr>
          <w:trHeight w:val="283"/>
        </w:trPr>
        <w:tc>
          <w:tcPr>
            <w:cnfStyle w:val="001000000000" w:firstRow="0" w:lastRow="0" w:firstColumn="1" w:lastColumn="0" w:oddVBand="0" w:evenVBand="0" w:oddHBand="0" w:evenHBand="0" w:firstRowFirstColumn="0" w:firstRowLastColumn="0" w:lastRowFirstColumn="0" w:lastRowLastColumn="0"/>
            <w:tcW w:w="3685" w:type="dxa"/>
          </w:tcPr>
          <w:p w:rsidR="00B71650" w:rsidRPr="00AE6EAB" w:rsidRDefault="00B71650" w:rsidP="005973CA">
            <w:pPr>
              <w:rPr>
                <w:b w:val="0"/>
              </w:rPr>
            </w:pPr>
            <w:r w:rsidRPr="00AE6EAB">
              <w:rPr>
                <w:b w:val="0"/>
              </w:rPr>
              <w:t>TOTAL</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EA56A1">
              <w:t>51</w:t>
            </w:r>
          </w:p>
        </w:tc>
        <w:tc>
          <w:tcPr>
            <w:tcW w:w="1843" w:type="dxa"/>
          </w:tcPr>
          <w:p w:rsidR="00B71650" w:rsidRPr="00EA56A1" w:rsidRDefault="00B71650" w:rsidP="005973CA">
            <w:pPr>
              <w:jc w:val="center"/>
              <w:cnfStyle w:val="000000000000" w:firstRow="0" w:lastRow="0" w:firstColumn="0" w:lastColumn="0" w:oddVBand="0" w:evenVBand="0" w:oddHBand="0" w:evenHBand="0" w:firstRowFirstColumn="0" w:firstRowLastColumn="0" w:lastRowFirstColumn="0" w:lastRowLastColumn="0"/>
            </w:pPr>
            <w:r w:rsidRPr="00835B2B">
              <w:t>100%</w:t>
            </w:r>
          </w:p>
        </w:tc>
      </w:tr>
    </w:tbl>
    <w:p w:rsidR="00B71650" w:rsidRPr="00581441" w:rsidRDefault="00B71650" w:rsidP="00B71650"/>
    <w:p w:rsidR="0014594F" w:rsidRDefault="0084594D" w:rsidP="00B71650">
      <w:r>
        <w:t>At a high level, responses from different stakeholder types tended to be consistent with each other in some respects.  Feedback from the clinical research community tended to be most in favour of the draft SOPs and form, and tended to focus on suggestions for minor technical changes.  On the other hand, feedback from academic institutions, consumer organisations and institutional ethics committees (IECs) tended to be more critical of the draft documents, and to suggest that more comprehensive changes were need to them.</w:t>
      </w:r>
    </w:p>
    <w:p w:rsidR="0084594D" w:rsidRDefault="0084594D" w:rsidP="00B71650"/>
    <w:p w:rsidR="00B71650" w:rsidRDefault="00B71650" w:rsidP="00B71650">
      <w:r>
        <w:t xml:space="preserve">The </w:t>
      </w:r>
      <w:r w:rsidR="00943CC3">
        <w:t>chart below shows</w:t>
      </w:r>
      <w:r>
        <w:t xml:space="preserve"> th</w:t>
      </w:r>
      <w:r w:rsidR="00943CC3">
        <w:t>e number of responses received o</w:t>
      </w:r>
      <w:r>
        <w:t xml:space="preserve">n each section of the </w:t>
      </w:r>
      <w:r w:rsidR="00943CC3">
        <w:t xml:space="preserve">draft SOPs </w:t>
      </w:r>
      <w:r w:rsidR="008B4EAD">
        <w:t>and form.</w:t>
      </w:r>
    </w:p>
    <w:p w:rsidR="00B71650" w:rsidRDefault="00B71650" w:rsidP="00B71650"/>
    <w:p w:rsidR="00B71650" w:rsidRDefault="00AF7D9D" w:rsidP="00B71650">
      <w:r>
        <w:rPr>
          <w:noProof/>
          <w:lang w:eastAsia="en-NZ"/>
        </w:rPr>
        <w:drawing>
          <wp:inline distT="0" distB="0" distL="0" distR="0" wp14:anchorId="29C2160D" wp14:editId="15D4B6B5">
            <wp:extent cx="5438775" cy="2105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1650" w:rsidRDefault="00B71650" w:rsidP="00B71650"/>
    <w:p w:rsidR="00B71650" w:rsidRDefault="00B82743" w:rsidP="005973CA">
      <w:pPr>
        <w:pStyle w:val="Heading2"/>
      </w:pPr>
      <w:bookmarkStart w:id="2" w:name="_Toc324258569"/>
      <w:r>
        <w:t xml:space="preserve">Feedback </w:t>
      </w:r>
      <w:r w:rsidR="00B71650">
        <w:t xml:space="preserve">on </w:t>
      </w:r>
      <w:r w:rsidR="00B16966">
        <w:t>g</w:t>
      </w:r>
      <w:r w:rsidR="00B71650">
        <w:t>overnment decisions</w:t>
      </w:r>
      <w:bookmarkEnd w:id="2"/>
    </w:p>
    <w:p w:rsidR="00BC064F" w:rsidRDefault="00BC064F" w:rsidP="00B71650"/>
    <w:p w:rsidR="006E73CE" w:rsidRDefault="00F02941" w:rsidP="00B71650">
      <w:r>
        <w:t xml:space="preserve">As </w:t>
      </w:r>
      <w:r w:rsidR="00AE6EAB">
        <w:t xml:space="preserve">explained in </w:t>
      </w:r>
      <w:r>
        <w:t xml:space="preserve">the consultation documents, the SOPs and application </w:t>
      </w:r>
      <w:r w:rsidR="00AE6EAB">
        <w:t xml:space="preserve">form are designed to </w:t>
      </w:r>
      <w:r>
        <w:t>give effect to the Government’s decisions on HDECs</w:t>
      </w:r>
      <w:r w:rsidR="00AE6EAB">
        <w:t xml:space="preserve"> following the Health Committee’s clinical trials inquiry</w:t>
      </w:r>
      <w:r>
        <w:t>.  However, a number of</w:t>
      </w:r>
      <w:r w:rsidR="006E73CE">
        <w:t xml:space="preserve"> submitters </w:t>
      </w:r>
      <w:r>
        <w:t>commented on</w:t>
      </w:r>
      <w:r w:rsidR="006E73CE">
        <w:t xml:space="preserve"> </w:t>
      </w:r>
      <w:r w:rsidR="00A061F4">
        <w:t xml:space="preserve">the substance and process of </w:t>
      </w:r>
      <w:r w:rsidR="006E73CE">
        <w:t>the</w:t>
      </w:r>
      <w:r w:rsidR="008B4EAD">
        <w:t>se Government</w:t>
      </w:r>
      <w:r w:rsidR="006E73CE">
        <w:t xml:space="preserve"> </w:t>
      </w:r>
      <w:r>
        <w:t xml:space="preserve">decisions, and on the Health Select Committee </w:t>
      </w:r>
      <w:r w:rsidR="00AE6EAB">
        <w:t>inquiry</w:t>
      </w:r>
      <w:r>
        <w:t xml:space="preserve"> </w:t>
      </w:r>
      <w:r w:rsidR="00AE6EAB">
        <w:t>itself</w:t>
      </w:r>
      <w:r>
        <w:t xml:space="preserve">.  </w:t>
      </w:r>
      <w:r w:rsidR="0030495A">
        <w:t>As a result, in some submissions it was not always clear whether a given comment related to the Government decisions, on one hand, or to the Ministry’s proposals for how these decisions might best be implemented, on the other.</w:t>
      </w:r>
      <w:r w:rsidR="0030495A" w:rsidRPr="0030495A">
        <w:t xml:space="preserve"> </w:t>
      </w:r>
    </w:p>
    <w:p w:rsidR="006E73CE" w:rsidRDefault="006E73CE" w:rsidP="00B71650"/>
    <w:p w:rsidR="00194233" w:rsidRDefault="00F02941" w:rsidP="00717656">
      <w:r>
        <w:t xml:space="preserve">Comment </w:t>
      </w:r>
      <w:r w:rsidR="00717656">
        <w:t xml:space="preserve">from submitters </w:t>
      </w:r>
      <w:r>
        <w:t xml:space="preserve">on </w:t>
      </w:r>
      <w:r w:rsidR="00717656">
        <w:t xml:space="preserve">the </w:t>
      </w:r>
      <w:r>
        <w:t>Government</w:t>
      </w:r>
      <w:r w:rsidR="00717656">
        <w:t>’s</w:t>
      </w:r>
      <w:r>
        <w:t xml:space="preserve"> decisions on HDECs</w:t>
      </w:r>
      <w:r w:rsidR="00717656">
        <w:t xml:space="preserve"> tended to focus on the need to maintain the quality of the HDEC review process (and</w:t>
      </w:r>
      <w:r w:rsidR="0084594D">
        <w:t>, in particular,</w:t>
      </w:r>
      <w:r w:rsidR="00717656">
        <w:t xml:space="preserve"> to ensure that participants continue to give informed consent, and that </w:t>
      </w:r>
      <w:r w:rsidR="005C03AD">
        <w:t xml:space="preserve">participant and researcher </w:t>
      </w:r>
      <w:r w:rsidR="00717656">
        <w:t xml:space="preserve">trust in the system is maintained); manage workload appropriately between HDECs and other parts of the research sector; </w:t>
      </w:r>
      <w:r w:rsidR="00AE6EAB">
        <w:t xml:space="preserve">and </w:t>
      </w:r>
      <w:r w:rsidR="00717656">
        <w:t xml:space="preserve">involve Māori appropriately in the research approval process.  </w:t>
      </w:r>
    </w:p>
    <w:p w:rsidR="00194233" w:rsidRDefault="00194233" w:rsidP="00717656"/>
    <w:p w:rsidR="00B71650" w:rsidRDefault="00194233" w:rsidP="00717656">
      <w:r>
        <w:t>Many</w:t>
      </w:r>
      <w:r w:rsidR="00717656">
        <w:t xml:space="preserve"> submitters saw specific risks in areas such as: </w:t>
      </w:r>
    </w:p>
    <w:p w:rsidR="00717656" w:rsidRDefault="00717656" w:rsidP="00B71650"/>
    <w:p w:rsidR="00717656" w:rsidRDefault="00717656" w:rsidP="00717656">
      <w:pPr>
        <w:pStyle w:val="ListParagraph"/>
        <w:numPr>
          <w:ilvl w:val="0"/>
          <w:numId w:val="65"/>
        </w:numPr>
      </w:pPr>
      <w:r>
        <w:t>the separation of procedural guidance on the HDEC review process from the ethical standards that apply to health and disability research</w:t>
      </w:r>
    </w:p>
    <w:p w:rsidR="00717656" w:rsidRDefault="00717656" w:rsidP="00717656">
      <w:pPr>
        <w:pStyle w:val="ListParagraph"/>
        <w:numPr>
          <w:ilvl w:val="0"/>
          <w:numId w:val="65"/>
        </w:numPr>
      </w:pPr>
      <w:r>
        <w:t>the centralisation of the submission process</w:t>
      </w:r>
    </w:p>
    <w:p w:rsidR="00717656" w:rsidRDefault="00717656" w:rsidP="00717656">
      <w:pPr>
        <w:pStyle w:val="ListParagraph"/>
        <w:numPr>
          <w:ilvl w:val="0"/>
          <w:numId w:val="65"/>
        </w:numPr>
      </w:pPr>
      <w:r>
        <w:t>the future role of HDECs in ensuring scientific quality of research</w:t>
      </w:r>
    </w:p>
    <w:p w:rsidR="00717656" w:rsidRDefault="00717656" w:rsidP="00717656">
      <w:pPr>
        <w:pStyle w:val="ListParagraph"/>
        <w:numPr>
          <w:ilvl w:val="0"/>
          <w:numId w:val="65"/>
        </w:numPr>
      </w:pPr>
      <w:r>
        <w:t xml:space="preserve">the separation of local research governance issues from HDEC review </w:t>
      </w:r>
    </w:p>
    <w:p w:rsidR="00717656" w:rsidRDefault="00717656" w:rsidP="00717656">
      <w:pPr>
        <w:pStyle w:val="ListParagraph"/>
        <w:numPr>
          <w:ilvl w:val="0"/>
          <w:numId w:val="65"/>
        </w:numPr>
      </w:pPr>
      <w:r>
        <w:t>a reduction in the scope of HDEC review, and the number and size of HDECs</w:t>
      </w:r>
    </w:p>
    <w:p w:rsidR="00717656" w:rsidRDefault="00717656" w:rsidP="00717656">
      <w:pPr>
        <w:pStyle w:val="ListParagraph"/>
        <w:numPr>
          <w:ilvl w:val="0"/>
          <w:numId w:val="65"/>
        </w:numPr>
      </w:pPr>
      <w:proofErr w:type="gramStart"/>
      <w:r>
        <w:t>the</w:t>
      </w:r>
      <w:proofErr w:type="gramEnd"/>
      <w:r>
        <w:t xml:space="preserve"> introduction of timeframes for review.</w:t>
      </w:r>
    </w:p>
    <w:p w:rsidR="00F02941" w:rsidRDefault="00F02941" w:rsidP="00B71650"/>
    <w:p w:rsidR="005C03AD" w:rsidRDefault="005C03AD">
      <w:pPr>
        <w:spacing w:after="200" w:line="276" w:lineRule="auto"/>
        <w:rPr>
          <w:rFonts w:asciiTheme="majorHAnsi" w:eastAsiaTheme="majorEastAsia" w:hAnsiTheme="majorHAnsi" w:cstheme="majorBidi"/>
          <w:b/>
          <w:bCs/>
          <w:color w:val="365F91" w:themeColor="accent1" w:themeShade="BF"/>
          <w:sz w:val="36"/>
          <w:szCs w:val="32"/>
        </w:rPr>
      </w:pPr>
      <w:r>
        <w:br w:type="page"/>
      </w:r>
    </w:p>
    <w:p w:rsidR="00B71650" w:rsidRDefault="006E73CE" w:rsidP="00266865">
      <w:pPr>
        <w:pStyle w:val="Heading1"/>
        <w:numPr>
          <w:ilvl w:val="0"/>
          <w:numId w:val="10"/>
        </w:numPr>
        <w:ind w:left="360"/>
      </w:pPr>
      <w:bookmarkStart w:id="3" w:name="_Toc324258570"/>
      <w:r>
        <w:t>Feedback</w:t>
      </w:r>
      <w:r w:rsidR="00B71650">
        <w:t xml:space="preserve"> </w:t>
      </w:r>
      <w:r w:rsidR="00943CC3">
        <w:t>on</w:t>
      </w:r>
      <w:r w:rsidR="00A74C8B">
        <w:t xml:space="preserve"> </w:t>
      </w:r>
      <w:r w:rsidR="00B71650">
        <w:t xml:space="preserve">draft </w:t>
      </w:r>
      <w:r w:rsidR="00943CC3" w:rsidRPr="00943CC3">
        <w:rPr>
          <w:i/>
        </w:rPr>
        <w:t>SOPs for HDECs</w:t>
      </w:r>
      <w:bookmarkEnd w:id="3"/>
    </w:p>
    <w:p w:rsidR="00943CC3" w:rsidRPr="00943CC3" w:rsidRDefault="00943CC3" w:rsidP="00943CC3">
      <w:pPr>
        <w:pStyle w:val="ListParagraph"/>
      </w:pPr>
    </w:p>
    <w:p w:rsidR="00547303" w:rsidRDefault="00547303" w:rsidP="0061300C">
      <w:r>
        <w:t>This section summari</w:t>
      </w:r>
      <w:r w:rsidR="00B16966">
        <w:t>s</w:t>
      </w:r>
      <w:r>
        <w:t xml:space="preserve">es </w:t>
      </w:r>
      <w:r w:rsidR="006E73CE">
        <w:t>feedback received</w:t>
      </w:r>
      <w:r>
        <w:t xml:space="preserve"> about the draft Standard Operating Procedures (SOPs).  </w:t>
      </w:r>
    </w:p>
    <w:p w:rsidR="00B71650" w:rsidRDefault="00B71650" w:rsidP="005973CA">
      <w:pPr>
        <w:pStyle w:val="Heading2"/>
      </w:pPr>
      <w:bookmarkStart w:id="4" w:name="_Toc324258571"/>
      <w:r>
        <w:t>Overall comments</w:t>
      </w:r>
      <w:bookmarkEnd w:id="4"/>
      <w:r>
        <w:t xml:space="preserve"> </w:t>
      </w:r>
    </w:p>
    <w:p w:rsidR="0062754C" w:rsidRDefault="0062754C" w:rsidP="00B71650"/>
    <w:p w:rsidR="006E73CE" w:rsidRDefault="006E73CE" w:rsidP="00B71650">
      <w:r>
        <w:rPr>
          <w:noProof/>
          <w:lang w:eastAsia="en-NZ"/>
        </w:rPr>
        <w:drawing>
          <wp:inline distT="0" distB="0" distL="0" distR="0" wp14:anchorId="1C720A42" wp14:editId="5E004AE9">
            <wp:extent cx="5727700" cy="1524000"/>
            <wp:effectExtent l="0" t="0" r="2540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73CE" w:rsidRDefault="006E73CE" w:rsidP="00B71650"/>
    <w:p w:rsidR="00B71650" w:rsidRDefault="003A0F72" w:rsidP="00B71650">
      <w:r>
        <w:t>Forty-two</w:t>
      </w:r>
      <w:r w:rsidR="00943CC3">
        <w:t xml:space="preserve"> submitters made</w:t>
      </w:r>
      <w:r w:rsidR="006E73CE">
        <w:t xml:space="preserve"> some overall comments</w:t>
      </w:r>
      <w:r w:rsidR="00B71650">
        <w:t xml:space="preserve"> </w:t>
      </w:r>
      <w:r w:rsidR="00547303">
        <w:t xml:space="preserve">about the </w:t>
      </w:r>
      <w:r>
        <w:t xml:space="preserve">draft </w:t>
      </w:r>
      <w:r w:rsidR="00547303">
        <w:t>SOPs</w:t>
      </w:r>
      <w:r w:rsidR="00B71650">
        <w:t xml:space="preserve">.  These comments </w:t>
      </w:r>
      <w:r w:rsidR="00943CC3">
        <w:t>covered a wide variety of substantive and procedural issues</w:t>
      </w:r>
      <w:r w:rsidR="00B71650">
        <w:t xml:space="preserve">, from general queries about the </w:t>
      </w:r>
      <w:r w:rsidR="00943CC3">
        <w:t xml:space="preserve">SOPs to detailed aspects of their </w:t>
      </w:r>
      <w:r w:rsidR="006E73CE">
        <w:t xml:space="preserve">development and </w:t>
      </w:r>
      <w:r w:rsidR="00943CC3">
        <w:t>implementation</w:t>
      </w:r>
      <w:r w:rsidR="00B71650">
        <w:t>.</w:t>
      </w:r>
    </w:p>
    <w:p w:rsidR="006E73CE" w:rsidRDefault="006E73CE" w:rsidP="00B71650"/>
    <w:p w:rsidR="006E73CE" w:rsidRDefault="00BD55BB" w:rsidP="006E73CE">
      <w:proofErr w:type="gramStart"/>
      <w:r>
        <w:rPr>
          <w:b/>
        </w:rPr>
        <w:t>General support.</w:t>
      </w:r>
      <w:proofErr w:type="gramEnd"/>
      <w:r>
        <w:rPr>
          <w:b/>
        </w:rPr>
        <w:t xml:space="preserve">  </w:t>
      </w:r>
      <w:r w:rsidR="006E73CE">
        <w:t>Twenty respondents expressed general support for the draft SOPs</w:t>
      </w:r>
      <w:r>
        <w:t>.</w:t>
      </w:r>
      <w:r w:rsidR="00A0314B">
        <w:t xml:space="preserve">  </w:t>
      </w:r>
    </w:p>
    <w:p w:rsidR="006E73CE" w:rsidRDefault="006E73CE" w:rsidP="00B71650"/>
    <w:p w:rsidR="006E73CE" w:rsidRDefault="006E73CE" w:rsidP="006E73CE">
      <w:pPr>
        <w:ind w:left="720"/>
        <w:rPr>
          <w:rFonts w:eastAsia="Times New Roman" w:cs="Arial"/>
          <w:i/>
          <w:color w:val="000000"/>
          <w:sz w:val="20"/>
          <w:szCs w:val="20"/>
          <w:lang w:val="en-AU" w:eastAsia="en-NZ"/>
        </w:rPr>
      </w:pPr>
      <w:r>
        <w:rPr>
          <w:rFonts w:eastAsia="Times New Roman" w:cs="Arial"/>
          <w:i/>
          <w:color w:val="000000"/>
          <w:sz w:val="20"/>
          <w:szCs w:val="20"/>
          <w:lang w:val="en-AU" w:eastAsia="en-NZ"/>
        </w:rPr>
        <w:t>“</w:t>
      </w:r>
      <w:r w:rsidRPr="0085550B">
        <w:rPr>
          <w:rFonts w:eastAsia="Times New Roman" w:cs="Arial"/>
          <w:i/>
          <w:color w:val="000000"/>
          <w:sz w:val="20"/>
          <w:szCs w:val="20"/>
          <w:lang w:val="en-AU" w:eastAsia="en-NZ"/>
        </w:rPr>
        <w:t xml:space="preserve">We consider this a timely and considered response to the recent review that will result in a more timely </w:t>
      </w:r>
      <w:r w:rsidRPr="006E73CE">
        <w:rPr>
          <w:rFonts w:eastAsia="Times New Roman" w:cs="Arial"/>
          <w:i/>
          <w:color w:val="000000"/>
          <w:sz w:val="20"/>
          <w:szCs w:val="20"/>
          <w:lang w:val="en-AU" w:eastAsia="en-NZ"/>
        </w:rPr>
        <w:t>and</w:t>
      </w:r>
      <w:r w:rsidRPr="0085550B">
        <w:rPr>
          <w:rFonts w:eastAsia="Times New Roman" w:cs="Arial"/>
          <w:i/>
          <w:color w:val="000000"/>
          <w:sz w:val="20"/>
          <w:szCs w:val="20"/>
          <w:lang w:val="en-AU" w:eastAsia="en-NZ"/>
        </w:rPr>
        <w:t xml:space="preserve"> effective service, with clearer boundaries and more transparent processes.  The SOPs remain in line with s</w:t>
      </w:r>
      <w:r w:rsidR="00BD55BB">
        <w:rPr>
          <w:rFonts w:eastAsia="Times New Roman" w:cs="Arial"/>
          <w:i/>
          <w:color w:val="000000"/>
          <w:sz w:val="20"/>
          <w:szCs w:val="20"/>
          <w:lang w:val="en-AU" w:eastAsia="en-NZ"/>
        </w:rPr>
        <w:t>tringent US f</w:t>
      </w:r>
      <w:r w:rsidRPr="0085550B">
        <w:rPr>
          <w:rFonts w:eastAsia="Times New Roman" w:cs="Arial"/>
          <w:i/>
          <w:color w:val="000000"/>
          <w:sz w:val="20"/>
          <w:szCs w:val="20"/>
          <w:lang w:val="en-AU" w:eastAsia="en-NZ"/>
        </w:rPr>
        <w:t>ederal requirements for inte</w:t>
      </w:r>
      <w:r w:rsidR="00BD55BB">
        <w:rPr>
          <w:rFonts w:eastAsia="Times New Roman" w:cs="Arial"/>
          <w:i/>
          <w:color w:val="000000"/>
          <w:sz w:val="20"/>
          <w:szCs w:val="20"/>
          <w:lang w:val="en-AU" w:eastAsia="en-NZ"/>
        </w:rPr>
        <w:t>rnational studies receiving US g</w:t>
      </w:r>
      <w:r w:rsidRPr="0085550B">
        <w:rPr>
          <w:rFonts w:eastAsia="Times New Roman" w:cs="Arial"/>
          <w:i/>
          <w:color w:val="000000"/>
          <w:sz w:val="20"/>
          <w:szCs w:val="20"/>
          <w:lang w:val="en-AU" w:eastAsia="en-NZ"/>
        </w:rPr>
        <w:t>overnment funds.</w:t>
      </w:r>
      <w:r>
        <w:rPr>
          <w:rFonts w:eastAsia="Times New Roman" w:cs="Arial"/>
          <w:i/>
          <w:color w:val="000000"/>
          <w:sz w:val="20"/>
          <w:szCs w:val="20"/>
          <w:lang w:val="en-AU" w:eastAsia="en-NZ"/>
        </w:rPr>
        <w:t>”</w:t>
      </w:r>
      <w:r w:rsidRPr="0085550B">
        <w:rPr>
          <w:rFonts w:eastAsia="Times New Roman" w:cs="Arial"/>
          <w:i/>
          <w:color w:val="000000"/>
          <w:sz w:val="20"/>
          <w:szCs w:val="20"/>
          <w:lang w:val="en-AU" w:eastAsia="en-NZ"/>
        </w:rPr>
        <w:t xml:space="preserve">   </w:t>
      </w:r>
    </w:p>
    <w:p w:rsidR="00A419F6" w:rsidRDefault="00A419F6" w:rsidP="006E73CE">
      <w:pPr>
        <w:ind w:left="720"/>
        <w:rPr>
          <w:rFonts w:eastAsia="Times New Roman" w:cs="Arial"/>
          <w:i/>
          <w:color w:val="000000"/>
          <w:sz w:val="20"/>
          <w:szCs w:val="20"/>
          <w:lang w:val="en-AU" w:eastAsia="en-NZ"/>
        </w:rPr>
      </w:pPr>
    </w:p>
    <w:p w:rsidR="00A419F6" w:rsidRDefault="00A419F6" w:rsidP="006E73CE">
      <w:pPr>
        <w:ind w:left="720"/>
        <w:rPr>
          <w:rFonts w:eastAsia="Times New Roman" w:cs="Arial"/>
          <w:i/>
          <w:color w:val="000000"/>
          <w:sz w:val="20"/>
          <w:szCs w:val="20"/>
          <w:lang w:val="en-AU" w:eastAsia="en-NZ"/>
        </w:rPr>
      </w:pPr>
      <w:r>
        <w:rPr>
          <w:rFonts w:eastAsia="Times New Roman" w:cs="Arial"/>
          <w:i/>
          <w:color w:val="000000"/>
          <w:sz w:val="20"/>
          <w:szCs w:val="20"/>
          <w:lang w:val="en-AU" w:eastAsia="en-NZ"/>
        </w:rPr>
        <w:t>“This proposal is long overdue</w:t>
      </w:r>
      <w:r w:rsidR="008B4EAD">
        <w:rPr>
          <w:rFonts w:eastAsia="Times New Roman" w:cs="Arial"/>
          <w:i/>
          <w:color w:val="000000"/>
          <w:sz w:val="20"/>
          <w:szCs w:val="20"/>
          <w:lang w:val="en-AU" w:eastAsia="en-NZ"/>
        </w:rPr>
        <w:t>.”</w:t>
      </w:r>
    </w:p>
    <w:p w:rsidR="00BD55BB" w:rsidRDefault="00BD55BB" w:rsidP="00B71650">
      <w:pPr>
        <w:rPr>
          <w:b/>
          <w:lang w:eastAsia="en-NZ"/>
        </w:rPr>
      </w:pPr>
    </w:p>
    <w:p w:rsidR="00BD55BB" w:rsidRDefault="008B4EAD" w:rsidP="00B71650">
      <w:pPr>
        <w:rPr>
          <w:lang w:eastAsia="en-NZ"/>
        </w:rPr>
      </w:pPr>
      <w:r>
        <w:rPr>
          <w:lang w:eastAsia="en-NZ"/>
        </w:rPr>
        <w:t xml:space="preserve">However, many other </w:t>
      </w:r>
      <w:r w:rsidR="00BD55BB">
        <w:rPr>
          <w:lang w:eastAsia="en-NZ"/>
        </w:rPr>
        <w:t xml:space="preserve">submitters </w:t>
      </w:r>
      <w:r w:rsidR="00E8486B">
        <w:rPr>
          <w:lang w:eastAsia="en-NZ"/>
        </w:rPr>
        <w:t>did not support the provisions of the draft SOPs.  Comments fro</w:t>
      </w:r>
      <w:r w:rsidR="00A0314B">
        <w:rPr>
          <w:lang w:eastAsia="en-NZ"/>
        </w:rPr>
        <w:t>m these submitters</w:t>
      </w:r>
      <w:r w:rsidR="00E8486B">
        <w:rPr>
          <w:lang w:eastAsia="en-NZ"/>
        </w:rPr>
        <w:t xml:space="preserve"> </w:t>
      </w:r>
      <w:r w:rsidR="00A0314B">
        <w:rPr>
          <w:lang w:eastAsia="en-NZ"/>
        </w:rPr>
        <w:t xml:space="preserve">included that the draft SOPs </w:t>
      </w:r>
      <w:r>
        <w:rPr>
          <w:lang w:eastAsia="en-NZ"/>
        </w:rPr>
        <w:t>would undermine review quality, favour</w:t>
      </w:r>
      <w:r w:rsidR="00A0314B">
        <w:rPr>
          <w:lang w:eastAsia="en-NZ"/>
        </w:rPr>
        <w:t xml:space="preserve"> commercial research, </w:t>
      </w:r>
      <w:r w:rsidR="00BD55BB">
        <w:rPr>
          <w:lang w:eastAsia="en-NZ"/>
        </w:rPr>
        <w:t xml:space="preserve">create a false sense of expediency, and </w:t>
      </w:r>
      <w:r w:rsidR="003A0F72">
        <w:rPr>
          <w:lang w:eastAsia="en-NZ"/>
        </w:rPr>
        <w:t>be</w:t>
      </w:r>
      <w:r w:rsidR="00BD55BB">
        <w:rPr>
          <w:lang w:eastAsia="en-NZ"/>
        </w:rPr>
        <w:t xml:space="preserve"> unlikely to result in a faster overall approval process for research.  One submitter thought this might </w:t>
      </w:r>
      <w:r w:rsidR="00E8486B">
        <w:rPr>
          <w:lang w:eastAsia="en-NZ"/>
        </w:rPr>
        <w:t xml:space="preserve">actively </w:t>
      </w:r>
      <w:r w:rsidR="00BD55BB">
        <w:rPr>
          <w:lang w:eastAsia="en-NZ"/>
        </w:rPr>
        <w:t>deter the pharmaceutical industry from conducting research in New Zealand</w:t>
      </w:r>
      <w:r w:rsidR="00A0314B">
        <w:rPr>
          <w:lang w:eastAsia="en-NZ"/>
        </w:rPr>
        <w:t xml:space="preserve"> in future.</w:t>
      </w:r>
    </w:p>
    <w:p w:rsidR="00A0314B" w:rsidRDefault="00A0314B" w:rsidP="00B71650">
      <w:pPr>
        <w:rPr>
          <w:lang w:eastAsia="en-NZ"/>
        </w:rPr>
      </w:pPr>
    </w:p>
    <w:p w:rsidR="008B4EAD" w:rsidRDefault="008B4EAD" w:rsidP="00A0314B">
      <w:pPr>
        <w:ind w:left="720"/>
        <w:rPr>
          <w:i/>
          <w:sz w:val="20"/>
          <w:szCs w:val="20"/>
        </w:rPr>
      </w:pPr>
      <w:r>
        <w:rPr>
          <w:i/>
          <w:sz w:val="20"/>
          <w:szCs w:val="20"/>
        </w:rPr>
        <w:t>“An appalling disaster… The SOPs are an insult to a carefully-nurtured culture of strong ethical oversight, which will be drastically undermined by the changes.</w:t>
      </w:r>
    </w:p>
    <w:p w:rsidR="008B4EAD" w:rsidRDefault="008B4EAD" w:rsidP="00A0314B">
      <w:pPr>
        <w:ind w:left="720"/>
        <w:rPr>
          <w:i/>
          <w:sz w:val="20"/>
          <w:szCs w:val="20"/>
        </w:rPr>
      </w:pPr>
    </w:p>
    <w:p w:rsidR="00A0314B" w:rsidRPr="00BD55BB" w:rsidRDefault="00A0314B" w:rsidP="00A0314B">
      <w:pPr>
        <w:ind w:left="720"/>
        <w:rPr>
          <w:lang w:eastAsia="en-NZ"/>
        </w:rPr>
      </w:pPr>
      <w:r>
        <w:rPr>
          <w:i/>
          <w:sz w:val="20"/>
          <w:szCs w:val="20"/>
        </w:rPr>
        <w:t>“</w:t>
      </w:r>
      <w:r w:rsidRPr="0061300C">
        <w:rPr>
          <w:i/>
          <w:sz w:val="20"/>
          <w:szCs w:val="20"/>
        </w:rPr>
        <w:t xml:space="preserve">There is a false sense </w:t>
      </w:r>
      <w:r w:rsidRPr="00A0314B">
        <w:rPr>
          <w:rFonts w:eastAsia="Times New Roman" w:cs="Arial"/>
          <w:i/>
          <w:color w:val="000000"/>
          <w:sz w:val="20"/>
          <w:szCs w:val="20"/>
          <w:lang w:val="en-AU" w:eastAsia="en-NZ"/>
        </w:rPr>
        <w:t>of</w:t>
      </w:r>
      <w:r w:rsidRPr="0061300C">
        <w:rPr>
          <w:i/>
          <w:sz w:val="20"/>
          <w:szCs w:val="20"/>
        </w:rPr>
        <w:t xml:space="preserve"> expedience when in actual fact the process for the researcher from seeking locality assessment to final ethics approval may take the same amount of time</w:t>
      </w:r>
      <w:r>
        <w:rPr>
          <w:i/>
          <w:sz w:val="20"/>
          <w:szCs w:val="20"/>
        </w:rPr>
        <w:t>.</w:t>
      </w:r>
    </w:p>
    <w:p w:rsidR="00BD55BB" w:rsidRDefault="00BD55BB" w:rsidP="00B71650">
      <w:pPr>
        <w:rPr>
          <w:b/>
          <w:lang w:eastAsia="en-NZ"/>
        </w:rPr>
      </w:pPr>
    </w:p>
    <w:p w:rsidR="00B71650" w:rsidRDefault="00BD55BB" w:rsidP="00B71650">
      <w:pPr>
        <w:rPr>
          <w:lang w:eastAsia="en-NZ"/>
        </w:rPr>
      </w:pPr>
      <w:proofErr w:type="gramStart"/>
      <w:r>
        <w:rPr>
          <w:b/>
          <w:lang w:eastAsia="en-NZ"/>
        </w:rPr>
        <w:t>Length of consultation period.</w:t>
      </w:r>
      <w:proofErr w:type="gramEnd"/>
      <w:r>
        <w:rPr>
          <w:b/>
          <w:lang w:eastAsia="en-NZ"/>
        </w:rPr>
        <w:t xml:space="preserve">  </w:t>
      </w:r>
      <w:r>
        <w:rPr>
          <w:lang w:eastAsia="en-NZ"/>
        </w:rPr>
        <w:t>Seven submitters considered</w:t>
      </w:r>
      <w:r w:rsidR="00B71650">
        <w:rPr>
          <w:lang w:eastAsia="en-NZ"/>
        </w:rPr>
        <w:t xml:space="preserve"> that the </w:t>
      </w:r>
      <w:r w:rsidR="00B71650" w:rsidRPr="0068626E">
        <w:rPr>
          <w:lang w:eastAsia="en-NZ"/>
        </w:rPr>
        <w:t xml:space="preserve">consultation process on </w:t>
      </w:r>
      <w:r w:rsidR="00B71650">
        <w:rPr>
          <w:lang w:eastAsia="en-NZ"/>
        </w:rPr>
        <w:t xml:space="preserve">the new </w:t>
      </w:r>
      <w:r w:rsidR="00B71650" w:rsidRPr="0068626E">
        <w:rPr>
          <w:lang w:eastAsia="en-NZ"/>
        </w:rPr>
        <w:t xml:space="preserve">SOPs </w:t>
      </w:r>
      <w:r w:rsidR="00B71650">
        <w:rPr>
          <w:lang w:eastAsia="en-NZ"/>
        </w:rPr>
        <w:t xml:space="preserve">was </w:t>
      </w:r>
      <w:r w:rsidR="00E8486B">
        <w:rPr>
          <w:lang w:eastAsia="en-NZ"/>
        </w:rPr>
        <w:t>too short</w:t>
      </w:r>
      <w:r w:rsidR="00B71650">
        <w:rPr>
          <w:lang w:eastAsia="en-NZ"/>
        </w:rPr>
        <w:t xml:space="preserve">, </w:t>
      </w:r>
      <w:r>
        <w:rPr>
          <w:lang w:eastAsia="en-NZ"/>
        </w:rPr>
        <w:t>and that</w:t>
      </w:r>
      <w:r w:rsidR="00B71650">
        <w:rPr>
          <w:lang w:eastAsia="en-NZ"/>
        </w:rPr>
        <w:t xml:space="preserve"> public debate on changes</w:t>
      </w:r>
      <w:r>
        <w:rPr>
          <w:lang w:eastAsia="en-NZ"/>
        </w:rPr>
        <w:t xml:space="preserve"> to HDECs had been insufficient</w:t>
      </w:r>
      <w:r w:rsidR="00B71650">
        <w:rPr>
          <w:lang w:eastAsia="en-NZ"/>
        </w:rPr>
        <w:t>.</w:t>
      </w:r>
    </w:p>
    <w:p w:rsidR="00BD55BB" w:rsidRDefault="00BD55BB" w:rsidP="00B71650">
      <w:pPr>
        <w:rPr>
          <w:lang w:eastAsia="en-NZ"/>
        </w:rPr>
      </w:pPr>
    </w:p>
    <w:p w:rsidR="004465E1" w:rsidRPr="0061300C" w:rsidRDefault="004465E1" w:rsidP="004465E1">
      <w:proofErr w:type="gramStart"/>
      <w:r>
        <w:rPr>
          <w:b/>
          <w:lang w:eastAsia="en-NZ"/>
        </w:rPr>
        <w:t>Consistency with international rules.</w:t>
      </w:r>
      <w:proofErr w:type="gramEnd"/>
      <w:r>
        <w:rPr>
          <w:b/>
          <w:lang w:eastAsia="en-NZ"/>
        </w:rPr>
        <w:t xml:space="preserve">  </w:t>
      </w:r>
      <w:r>
        <w:t xml:space="preserve">Several submitters questioned whether the draft SOPs would be consistent with national law, the Treaty of Waitangi, the findings of the Cartwright inquiry, and international guidance for the ethical conduct of health and disability research.  However, apart from one submission (from the New Zealand Law Society, whose submission has since been made public), submitters did not always clearly indicate which provisions </w:t>
      </w:r>
      <w:r w:rsidR="0030495A">
        <w:t xml:space="preserve">of </w:t>
      </w:r>
      <w:r>
        <w:t xml:space="preserve">these instruments they considered the draft SOPs would breach.  </w:t>
      </w:r>
    </w:p>
    <w:p w:rsidR="004465E1" w:rsidRDefault="004465E1" w:rsidP="00B71650">
      <w:pPr>
        <w:rPr>
          <w:b/>
          <w:lang w:eastAsia="en-NZ"/>
        </w:rPr>
      </w:pPr>
    </w:p>
    <w:p w:rsidR="004465E1" w:rsidRDefault="004465E1" w:rsidP="00B71650">
      <w:pPr>
        <w:rPr>
          <w:b/>
          <w:lang w:eastAsia="en-NZ"/>
        </w:rPr>
      </w:pPr>
    </w:p>
    <w:p w:rsidR="00BD55BB" w:rsidRDefault="00A0314B" w:rsidP="00B71650">
      <w:pPr>
        <w:rPr>
          <w:lang w:eastAsia="en-NZ"/>
        </w:rPr>
      </w:pPr>
      <w:proofErr w:type="gramStart"/>
      <w:r>
        <w:rPr>
          <w:b/>
          <w:lang w:eastAsia="en-NZ"/>
        </w:rPr>
        <w:t>HDEC membership</w:t>
      </w:r>
      <w:r w:rsidR="00BD55BB">
        <w:rPr>
          <w:b/>
          <w:lang w:eastAsia="en-NZ"/>
        </w:rPr>
        <w:t>.</w:t>
      </w:r>
      <w:proofErr w:type="gramEnd"/>
      <w:r w:rsidR="00BD55BB">
        <w:rPr>
          <w:b/>
          <w:lang w:eastAsia="en-NZ"/>
        </w:rPr>
        <w:t xml:space="preserve">  </w:t>
      </w:r>
      <w:r w:rsidR="00BD55BB">
        <w:rPr>
          <w:lang w:eastAsia="en-NZ"/>
        </w:rPr>
        <w:t xml:space="preserve">Although not </w:t>
      </w:r>
      <w:r w:rsidR="00C62E98">
        <w:rPr>
          <w:lang w:eastAsia="en-NZ"/>
        </w:rPr>
        <w:t xml:space="preserve">specifically </w:t>
      </w:r>
      <w:r w:rsidR="00BD55BB">
        <w:rPr>
          <w:lang w:eastAsia="en-NZ"/>
        </w:rPr>
        <w:t>mentioned in the draft SOPs or draft form, six submitters commented on aspects of HDEC membership</w:t>
      </w:r>
      <w:r>
        <w:rPr>
          <w:lang w:eastAsia="en-NZ"/>
        </w:rPr>
        <w:t>.  Comments included</w:t>
      </w:r>
      <w:r w:rsidR="00BD55BB">
        <w:rPr>
          <w:lang w:eastAsia="en-NZ"/>
        </w:rPr>
        <w:t xml:space="preserve"> that chairs sh</w:t>
      </w:r>
      <w:r>
        <w:rPr>
          <w:lang w:eastAsia="en-NZ"/>
        </w:rPr>
        <w:t>ould continue to be lay members, that members should receive formal training in bioethics, and that the Terms of Reference for the new HDECs ought to have been included with the consultation documents.</w:t>
      </w:r>
    </w:p>
    <w:p w:rsidR="00A0314B" w:rsidRDefault="00A0314B" w:rsidP="00B71650">
      <w:pPr>
        <w:rPr>
          <w:lang w:eastAsia="en-NZ"/>
        </w:rPr>
      </w:pPr>
    </w:p>
    <w:p w:rsidR="00A03EF7" w:rsidRPr="00A0314B" w:rsidRDefault="00A0314B" w:rsidP="00E8486B">
      <w:pPr>
        <w:rPr>
          <w:lang w:eastAsia="en-NZ"/>
        </w:rPr>
      </w:pPr>
      <w:proofErr w:type="gramStart"/>
      <w:r>
        <w:rPr>
          <w:b/>
          <w:lang w:eastAsia="en-NZ"/>
        </w:rPr>
        <w:t>Ethical standards for researchers.</w:t>
      </w:r>
      <w:proofErr w:type="gramEnd"/>
      <w:r>
        <w:rPr>
          <w:lang w:eastAsia="en-NZ"/>
        </w:rPr>
        <w:t xml:space="preserve">  Some submitters thought that the SOPs should include </w:t>
      </w:r>
      <w:r w:rsidR="00BC064F">
        <w:rPr>
          <w:lang w:eastAsia="en-NZ"/>
        </w:rPr>
        <w:t xml:space="preserve">substantive ethical </w:t>
      </w:r>
      <w:r>
        <w:rPr>
          <w:lang w:eastAsia="en-NZ"/>
        </w:rPr>
        <w:t xml:space="preserve">guidance for researchers </w:t>
      </w:r>
      <w:r w:rsidR="00E8486B">
        <w:rPr>
          <w:lang w:eastAsia="en-NZ"/>
        </w:rPr>
        <w:t xml:space="preserve">on a range of matters, including </w:t>
      </w:r>
      <w:r>
        <w:rPr>
          <w:lang w:eastAsia="en-NZ"/>
        </w:rPr>
        <w:t>the need to obtain informed consent</w:t>
      </w:r>
      <w:r w:rsidR="00E8486B">
        <w:rPr>
          <w:lang w:eastAsia="en-NZ"/>
        </w:rPr>
        <w:t xml:space="preserve">, </w:t>
      </w:r>
      <w:r>
        <w:rPr>
          <w:lang w:eastAsia="en-NZ"/>
        </w:rPr>
        <w:t>compliance with the HDC’s Code of Rights</w:t>
      </w:r>
      <w:r w:rsidR="00E8486B">
        <w:rPr>
          <w:lang w:eastAsia="en-NZ"/>
        </w:rPr>
        <w:t>, and consultation</w:t>
      </w:r>
      <w:r w:rsidR="00A03EF7">
        <w:rPr>
          <w:lang w:eastAsia="en-NZ"/>
        </w:rPr>
        <w:t xml:space="preserve"> with Māori and Pacific peoples.</w:t>
      </w:r>
    </w:p>
    <w:p w:rsidR="00A03EF7" w:rsidRDefault="00A03EF7" w:rsidP="00A03EF7">
      <w:pPr>
        <w:pStyle w:val="ListParagraph"/>
        <w:rPr>
          <w:i/>
          <w:sz w:val="20"/>
          <w:szCs w:val="20"/>
          <w:lang w:eastAsia="en-NZ"/>
        </w:rPr>
      </w:pPr>
    </w:p>
    <w:p w:rsidR="00A03EF7" w:rsidRPr="00A03EF7" w:rsidRDefault="00A03EF7" w:rsidP="00A03EF7">
      <w:pPr>
        <w:pStyle w:val="ListParagraph"/>
        <w:rPr>
          <w:i/>
          <w:sz w:val="20"/>
          <w:szCs w:val="20"/>
          <w:lang w:eastAsia="en-NZ"/>
        </w:rPr>
      </w:pPr>
      <w:r w:rsidRPr="00A03EF7">
        <w:rPr>
          <w:i/>
          <w:sz w:val="20"/>
          <w:szCs w:val="20"/>
        </w:rPr>
        <w:t xml:space="preserve">“We are concerned about the </w:t>
      </w:r>
      <w:r>
        <w:rPr>
          <w:i/>
          <w:sz w:val="20"/>
          <w:szCs w:val="20"/>
        </w:rPr>
        <w:t xml:space="preserve">[…] </w:t>
      </w:r>
      <w:r w:rsidRPr="00A03EF7">
        <w:rPr>
          <w:i/>
          <w:sz w:val="20"/>
          <w:szCs w:val="20"/>
        </w:rPr>
        <w:t xml:space="preserve"> omission of reference to the Treaty of Waitangi and guiding principles related to research with Māori in the </w:t>
      </w:r>
      <w:r>
        <w:rPr>
          <w:i/>
          <w:sz w:val="20"/>
          <w:szCs w:val="20"/>
        </w:rPr>
        <w:t>d</w:t>
      </w:r>
      <w:r w:rsidRPr="00A03EF7">
        <w:rPr>
          <w:i/>
          <w:sz w:val="20"/>
          <w:szCs w:val="20"/>
        </w:rPr>
        <w:t xml:space="preserve">raft SOPs. We also note that these standards do not make reference to </w:t>
      </w:r>
      <w:proofErr w:type="spellStart"/>
      <w:r w:rsidRPr="00A03EF7">
        <w:rPr>
          <w:i/>
          <w:sz w:val="20"/>
          <w:szCs w:val="20"/>
        </w:rPr>
        <w:t>Te</w:t>
      </w:r>
      <w:proofErr w:type="spellEnd"/>
      <w:r w:rsidRPr="00A03EF7">
        <w:rPr>
          <w:i/>
          <w:sz w:val="20"/>
          <w:szCs w:val="20"/>
        </w:rPr>
        <w:t xml:space="preserve"> </w:t>
      </w:r>
      <w:proofErr w:type="spellStart"/>
      <w:r w:rsidRPr="00A03EF7">
        <w:rPr>
          <w:i/>
          <w:sz w:val="20"/>
          <w:szCs w:val="20"/>
        </w:rPr>
        <w:t>Ara</w:t>
      </w:r>
      <w:proofErr w:type="spellEnd"/>
      <w:r w:rsidRPr="00A03EF7">
        <w:rPr>
          <w:i/>
          <w:sz w:val="20"/>
          <w:szCs w:val="20"/>
        </w:rPr>
        <w:t xml:space="preserve"> </w:t>
      </w:r>
      <w:proofErr w:type="spellStart"/>
      <w:r w:rsidRPr="00A03EF7">
        <w:rPr>
          <w:i/>
          <w:sz w:val="20"/>
          <w:szCs w:val="20"/>
        </w:rPr>
        <w:t>Tika</w:t>
      </w:r>
      <w:proofErr w:type="spellEnd"/>
      <w:r w:rsidRPr="00A03EF7">
        <w:rPr>
          <w:i/>
          <w:sz w:val="20"/>
          <w:szCs w:val="20"/>
        </w:rPr>
        <w:t xml:space="preserve"> Guidelines for Māori Research Ethics: a Framework for Researchers and Ethics Committee Members (HRC, 2011). We do acknowledge that consultation with Māori has been mentioned broadly, however, this provides insufficient direction for ethics committees and researchers.</w:t>
      </w:r>
      <w:r>
        <w:rPr>
          <w:i/>
          <w:sz w:val="20"/>
          <w:szCs w:val="20"/>
        </w:rPr>
        <w:t>”</w:t>
      </w:r>
    </w:p>
    <w:p w:rsidR="002A055E" w:rsidRPr="0061300C" w:rsidRDefault="002A055E" w:rsidP="0061300C">
      <w:pPr>
        <w:rPr>
          <w:lang w:val="en-GB" w:eastAsia="en-NZ"/>
        </w:rPr>
      </w:pPr>
    </w:p>
    <w:p w:rsidR="00E4695F" w:rsidRDefault="00E8486B" w:rsidP="00E8486B">
      <w:pPr>
        <w:rPr>
          <w:lang w:eastAsia="en-NZ"/>
        </w:rPr>
      </w:pPr>
      <w:proofErr w:type="gramStart"/>
      <w:r>
        <w:rPr>
          <w:b/>
          <w:lang w:eastAsia="en-NZ"/>
        </w:rPr>
        <w:t>Framework for ethical review.</w:t>
      </w:r>
      <w:proofErr w:type="gramEnd"/>
      <w:r>
        <w:rPr>
          <w:b/>
          <w:lang w:eastAsia="en-NZ"/>
        </w:rPr>
        <w:t xml:space="preserve">  </w:t>
      </w:r>
      <w:r w:rsidR="00427DD6">
        <w:rPr>
          <w:lang w:eastAsia="en-NZ"/>
        </w:rPr>
        <w:t>Fi</w:t>
      </w:r>
      <w:r w:rsidR="00B71650" w:rsidRPr="00CE3176">
        <w:rPr>
          <w:lang w:eastAsia="en-NZ"/>
        </w:rPr>
        <w:t xml:space="preserve">ve respondents commented </w:t>
      </w:r>
      <w:r>
        <w:rPr>
          <w:lang w:eastAsia="en-NZ"/>
        </w:rPr>
        <w:t xml:space="preserve">on the need for a coherent framework of ethical review, and considered that the SOPs would </w:t>
      </w:r>
      <w:r w:rsidR="00AA2592">
        <w:rPr>
          <w:lang w:eastAsia="en-NZ"/>
        </w:rPr>
        <w:t>not advance this goal</w:t>
      </w:r>
      <w:r w:rsidR="00717656">
        <w:rPr>
          <w:lang w:eastAsia="en-NZ"/>
        </w:rPr>
        <w:t xml:space="preserve">.  One submitter suggested that the HRCEC lead development of this framework, while others </w:t>
      </w:r>
      <w:r w:rsidR="005C03AD">
        <w:rPr>
          <w:lang w:eastAsia="en-NZ"/>
        </w:rPr>
        <w:t>suggested that the HDECs should be hosted and administered other than by the Ministry of Health in future.</w:t>
      </w:r>
    </w:p>
    <w:p w:rsidR="001B7022" w:rsidRDefault="001B7022" w:rsidP="0061300C">
      <w:pPr>
        <w:ind w:left="720"/>
        <w:rPr>
          <w:lang w:eastAsia="en-NZ"/>
        </w:rPr>
      </w:pPr>
    </w:p>
    <w:p w:rsidR="000F0BFE" w:rsidRDefault="00BC064F" w:rsidP="00B71650">
      <w:pPr>
        <w:rPr>
          <w:lang w:eastAsia="en-NZ"/>
        </w:rPr>
      </w:pPr>
      <w:proofErr w:type="gramStart"/>
      <w:r>
        <w:rPr>
          <w:b/>
          <w:lang w:eastAsia="en-NZ"/>
        </w:rPr>
        <w:t>Definitions.</w:t>
      </w:r>
      <w:proofErr w:type="gramEnd"/>
      <w:r>
        <w:rPr>
          <w:lang w:eastAsia="en-NZ"/>
        </w:rPr>
        <w:t xml:space="preserve">  Seven submitters felt that the SOPs needed to</w:t>
      </w:r>
      <w:r w:rsidR="0062754C">
        <w:rPr>
          <w:lang w:eastAsia="en-NZ"/>
        </w:rPr>
        <w:t xml:space="preserve"> provide clearer definitions around</w:t>
      </w:r>
      <w:r>
        <w:rPr>
          <w:lang w:eastAsia="en-NZ"/>
        </w:rPr>
        <w:t xml:space="preserve"> risk, </w:t>
      </w:r>
      <w:r w:rsidR="0062754C">
        <w:rPr>
          <w:lang w:eastAsia="en-NZ"/>
        </w:rPr>
        <w:t xml:space="preserve">adequate </w:t>
      </w:r>
      <w:r>
        <w:rPr>
          <w:lang w:eastAsia="en-NZ"/>
        </w:rPr>
        <w:t xml:space="preserve">peer review, and conflict of interest.  Six submitters asked that the </w:t>
      </w:r>
      <w:r w:rsidR="009B6FD6">
        <w:rPr>
          <w:lang w:eastAsia="en-NZ"/>
        </w:rPr>
        <w:t>definition of “investigator”</w:t>
      </w:r>
      <w:r>
        <w:rPr>
          <w:lang w:eastAsia="en-NZ"/>
        </w:rPr>
        <w:t xml:space="preserve"> in the SOPs be amended to align with international go</w:t>
      </w:r>
      <w:r w:rsidR="009B6FD6">
        <w:rPr>
          <w:lang w:eastAsia="en-NZ"/>
        </w:rPr>
        <w:t xml:space="preserve">od clinical practice guidelines. </w:t>
      </w:r>
    </w:p>
    <w:p w:rsidR="00BC064F" w:rsidRDefault="00BC064F" w:rsidP="00B71650">
      <w:pPr>
        <w:rPr>
          <w:lang w:eastAsia="en-NZ"/>
        </w:rPr>
      </w:pPr>
    </w:p>
    <w:p w:rsidR="00BC064F" w:rsidRPr="00BC064F" w:rsidRDefault="00BC064F" w:rsidP="00B71650">
      <w:pPr>
        <w:rPr>
          <w:lang w:eastAsia="en-NZ"/>
        </w:rPr>
      </w:pPr>
      <w:proofErr w:type="gramStart"/>
      <w:r>
        <w:rPr>
          <w:b/>
          <w:lang w:eastAsia="en-NZ"/>
        </w:rPr>
        <w:t>Implementation and monitoring.</w:t>
      </w:r>
      <w:proofErr w:type="gramEnd"/>
      <w:r>
        <w:rPr>
          <w:lang w:eastAsia="en-NZ"/>
        </w:rPr>
        <w:t xml:space="preserve">  Four submitters </w:t>
      </w:r>
      <w:r w:rsidR="009B6FD6">
        <w:rPr>
          <w:lang w:eastAsia="en-NZ"/>
        </w:rPr>
        <w:t>suggest</w:t>
      </w:r>
      <w:r>
        <w:rPr>
          <w:lang w:eastAsia="en-NZ"/>
        </w:rPr>
        <w:t>ed that the SOPs be formally reviewed after their introduction, suggesting timeframes ranging from six to 24 months.</w:t>
      </w:r>
    </w:p>
    <w:p w:rsidR="00750FF4" w:rsidRDefault="00750FF4" w:rsidP="00B71650">
      <w:pPr>
        <w:contextualSpacing/>
        <w:rPr>
          <w:lang w:eastAsia="en-NZ"/>
        </w:rPr>
      </w:pPr>
    </w:p>
    <w:p w:rsidR="00B71650" w:rsidRDefault="00B71650" w:rsidP="00266865">
      <w:pPr>
        <w:pStyle w:val="Heading2"/>
      </w:pPr>
      <w:bookmarkStart w:id="5" w:name="_Toc324258572"/>
      <w:r>
        <w:t>Section 1:  Purpose and application</w:t>
      </w:r>
      <w:bookmarkEnd w:id="5"/>
    </w:p>
    <w:p w:rsidR="0062754C" w:rsidRDefault="0062754C" w:rsidP="00B71650"/>
    <w:p w:rsidR="00B71650" w:rsidRDefault="00BC064F" w:rsidP="00B71650">
      <w:r>
        <w:rPr>
          <w:noProof/>
          <w:lang w:eastAsia="en-NZ"/>
        </w:rPr>
        <w:drawing>
          <wp:inline distT="0" distB="0" distL="0" distR="0" wp14:anchorId="4C46AAAE" wp14:editId="4E0EAD7A">
            <wp:extent cx="5727700" cy="1524000"/>
            <wp:effectExtent l="0" t="0" r="25400"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71650">
        <w:t>.</w:t>
      </w:r>
    </w:p>
    <w:p w:rsidR="00B71650" w:rsidRDefault="00BC064F" w:rsidP="00BC064F">
      <w:r>
        <w:t>Sixteen submitters provided feedback on this section of the draft SOPs</w:t>
      </w:r>
      <w:r w:rsidR="00C62E98">
        <w:t>.  This feedback tended to be brief, and included comment on the need to:</w:t>
      </w:r>
    </w:p>
    <w:p w:rsidR="00C62E98" w:rsidRDefault="00C62E98" w:rsidP="00BC064F"/>
    <w:p w:rsidR="00C62E98" w:rsidRDefault="00C62E98" w:rsidP="00C62E98">
      <w:pPr>
        <w:pStyle w:val="ListParagraph"/>
        <w:numPr>
          <w:ilvl w:val="0"/>
          <w:numId w:val="65"/>
        </w:numPr>
      </w:pPr>
      <w:r>
        <w:t>address Treaty issues in HDEC procedure</w:t>
      </w:r>
    </w:p>
    <w:p w:rsidR="00C62E98" w:rsidRDefault="00C62E98" w:rsidP="00C62E98">
      <w:pPr>
        <w:pStyle w:val="ListParagraph"/>
        <w:numPr>
          <w:ilvl w:val="0"/>
          <w:numId w:val="65"/>
        </w:numPr>
      </w:pPr>
      <w:r>
        <w:t>ensure consistency with NZ law and policy, and with international standards for ethics committee review</w:t>
      </w:r>
    </w:p>
    <w:p w:rsidR="00C62E98" w:rsidRDefault="00C62E98" w:rsidP="00C62E98">
      <w:pPr>
        <w:pStyle w:val="ListParagraph"/>
        <w:numPr>
          <w:ilvl w:val="0"/>
          <w:numId w:val="65"/>
        </w:numPr>
      </w:pPr>
      <w:r>
        <w:t>ensure that the SOPs do not dilute ethical standards for health and disability research</w:t>
      </w:r>
    </w:p>
    <w:p w:rsidR="00C62E98" w:rsidRDefault="00C62E98" w:rsidP="00C62E98">
      <w:pPr>
        <w:pStyle w:val="ListParagraph"/>
        <w:numPr>
          <w:ilvl w:val="0"/>
          <w:numId w:val="65"/>
        </w:numPr>
      </w:pPr>
      <w:proofErr w:type="gramStart"/>
      <w:r>
        <w:t>provide</w:t>
      </w:r>
      <w:proofErr w:type="gramEnd"/>
      <w:r>
        <w:t xml:space="preserve"> resources and training to achieve consistency in HDEC review.</w:t>
      </w:r>
    </w:p>
    <w:p w:rsidR="00BC064F" w:rsidRDefault="00BC064F" w:rsidP="00BC064F"/>
    <w:p w:rsidR="00B71650" w:rsidRDefault="00C62E98" w:rsidP="00B71650">
      <w:r>
        <w:t>Other respondents commented that the proposed purpose was clear and appropriate</w:t>
      </w:r>
      <w:r w:rsidR="00AA2592">
        <w:t xml:space="preserve"> in the draft SOPs</w:t>
      </w:r>
      <w:r>
        <w:t>.</w:t>
      </w:r>
    </w:p>
    <w:p w:rsidR="00B71650" w:rsidRDefault="00B71650" w:rsidP="00B71650"/>
    <w:p w:rsidR="00B71650" w:rsidRDefault="00B71650" w:rsidP="005973CA">
      <w:pPr>
        <w:pStyle w:val="Heading2"/>
      </w:pPr>
      <w:bookmarkStart w:id="6" w:name="_Toc324258573"/>
      <w:r>
        <w:t>Section 2:  The role of HDECs</w:t>
      </w:r>
      <w:bookmarkEnd w:id="6"/>
    </w:p>
    <w:p w:rsidR="0062754C" w:rsidRDefault="0062754C" w:rsidP="00B71650"/>
    <w:p w:rsidR="0062754C" w:rsidRDefault="0062754C" w:rsidP="00B71650">
      <w:r>
        <w:rPr>
          <w:noProof/>
          <w:lang w:eastAsia="en-NZ"/>
        </w:rPr>
        <w:drawing>
          <wp:inline distT="0" distB="0" distL="0" distR="0" wp14:anchorId="2421FA1D" wp14:editId="4684E760">
            <wp:extent cx="5727700" cy="1524000"/>
            <wp:effectExtent l="0" t="0" r="25400"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754C" w:rsidRDefault="0062754C" w:rsidP="00B71650"/>
    <w:p w:rsidR="00B71650" w:rsidRDefault="00B71650" w:rsidP="00B71650">
      <w:r>
        <w:t xml:space="preserve">Thirty-four respondents </w:t>
      </w:r>
      <w:r w:rsidR="0062754C">
        <w:t>commented on this section of the draft SOPs</w:t>
      </w:r>
      <w:r>
        <w:t xml:space="preserve">. </w:t>
      </w:r>
      <w:r w:rsidRPr="007D6CB3">
        <w:t xml:space="preserve">The most frequent comments related to the separation of ethical review from review of scientific validity, the lack of specificity around what constitutes peer review, the separation of locality review from HDEC review, and </w:t>
      </w:r>
      <w:r>
        <w:t xml:space="preserve">the timing of consultation with Maori and other cultural groups in the application process. </w:t>
      </w:r>
    </w:p>
    <w:p w:rsidR="0062754C" w:rsidRDefault="0062754C" w:rsidP="0062754C">
      <w:pPr>
        <w:rPr>
          <w:rFonts w:asciiTheme="majorHAnsi" w:eastAsia="Times New Roman" w:hAnsiTheme="majorHAnsi" w:cstheme="majorBidi"/>
          <w:bCs/>
          <w:i/>
          <w:color w:val="365F91" w:themeColor="accent1" w:themeShade="BF"/>
          <w:sz w:val="26"/>
          <w:lang w:eastAsia="en-NZ"/>
        </w:rPr>
      </w:pPr>
    </w:p>
    <w:p w:rsidR="00B71650" w:rsidRDefault="0062754C" w:rsidP="0062754C">
      <w:r>
        <w:rPr>
          <w:b/>
          <w:lang w:eastAsia="en-NZ"/>
        </w:rPr>
        <w:t xml:space="preserve">Peer review.  </w:t>
      </w:r>
      <w:r>
        <w:rPr>
          <w:lang w:eastAsia="en-NZ"/>
        </w:rPr>
        <w:t xml:space="preserve">Nineteen submitters commented on the need for </w:t>
      </w:r>
      <w:r w:rsidR="009B6FD6">
        <w:rPr>
          <w:lang w:eastAsia="en-NZ"/>
        </w:rPr>
        <w:t xml:space="preserve">greater </w:t>
      </w:r>
      <w:r w:rsidR="00AA2592">
        <w:rPr>
          <w:lang w:eastAsia="en-NZ"/>
        </w:rPr>
        <w:t>clarity around what would constitute</w:t>
      </w:r>
      <w:r>
        <w:rPr>
          <w:lang w:eastAsia="en-NZ"/>
        </w:rPr>
        <w:t xml:space="preserve"> “appropriate” peer review, </w:t>
      </w:r>
      <w:r w:rsidR="00B71650">
        <w:t xml:space="preserve">with </w:t>
      </w:r>
      <w:r>
        <w:t>some noting that</w:t>
      </w:r>
      <w:r w:rsidR="00B71650">
        <w:t xml:space="preserve"> </w:t>
      </w:r>
      <w:r w:rsidR="00B71650" w:rsidRPr="00CD323A">
        <w:t xml:space="preserve">varying levels of thoroughness of review </w:t>
      </w:r>
      <w:r w:rsidR="00B71650">
        <w:t xml:space="preserve">might be </w:t>
      </w:r>
      <w:r w:rsidR="00B71650" w:rsidRPr="00CD323A">
        <w:t>appropriate</w:t>
      </w:r>
      <w:r w:rsidR="00B71650">
        <w:t xml:space="preserve"> </w:t>
      </w:r>
      <w:r w:rsidR="009D17BD">
        <w:t xml:space="preserve">for </w:t>
      </w:r>
      <w:r w:rsidR="00B71650">
        <w:t xml:space="preserve">differing levels of risk.  Eight respondents noted the need for clarity around the related issue of what </w:t>
      </w:r>
      <w:r>
        <w:t>might constitute</w:t>
      </w:r>
      <w:r w:rsidR="00B71650">
        <w:t xml:space="preserve"> </w:t>
      </w:r>
      <w:r>
        <w:t xml:space="preserve">appropriate </w:t>
      </w:r>
      <w:r w:rsidR="00B71650" w:rsidRPr="0062754C">
        <w:rPr>
          <w:i/>
        </w:rPr>
        <w:t>evidence</w:t>
      </w:r>
      <w:r w:rsidR="00B71650">
        <w:t xml:space="preserve"> of peer review</w:t>
      </w:r>
      <w:r>
        <w:t xml:space="preserve"> in the context of HDECs</w:t>
      </w:r>
      <w:r w:rsidR="00B71650">
        <w:t xml:space="preserve"> application</w:t>
      </w:r>
      <w:r>
        <w:t>s</w:t>
      </w:r>
      <w:r w:rsidR="00B71650">
        <w:t>.</w:t>
      </w:r>
    </w:p>
    <w:p w:rsidR="00194233" w:rsidRDefault="00194233" w:rsidP="0062754C"/>
    <w:p w:rsidR="00194233" w:rsidRDefault="00194233" w:rsidP="0062754C">
      <w:r>
        <w:t>A clear theme of feedback received on this section was that HDECs should continue to be able to ensure that research is based on sound science, and to require further peer review on specific issues in applications if need be.</w:t>
      </w:r>
    </w:p>
    <w:p w:rsidR="0062754C" w:rsidRDefault="0062754C" w:rsidP="0062754C"/>
    <w:p w:rsidR="0062754C" w:rsidRDefault="0062754C" w:rsidP="0062754C">
      <w:r>
        <w:t>Other feedback on the role of HDECs in peer review included that:</w:t>
      </w:r>
    </w:p>
    <w:p w:rsidR="0062754C" w:rsidRDefault="0062754C" w:rsidP="0062754C"/>
    <w:p w:rsidR="0076220A" w:rsidRDefault="0076220A" w:rsidP="001B7C75">
      <w:pPr>
        <w:pStyle w:val="ListParagraph"/>
        <w:numPr>
          <w:ilvl w:val="0"/>
          <w:numId w:val="51"/>
        </w:numPr>
      </w:pPr>
      <w:r>
        <w:t>while requiring pe</w:t>
      </w:r>
      <w:r w:rsidRPr="009B1638">
        <w:t xml:space="preserve">er review </w:t>
      </w:r>
      <w:r>
        <w:t>prior to application wi</w:t>
      </w:r>
      <w:r w:rsidRPr="009B1638">
        <w:t xml:space="preserve">ll streamline </w:t>
      </w:r>
      <w:r w:rsidR="0062754C">
        <w:t xml:space="preserve">the </w:t>
      </w:r>
      <w:r w:rsidRPr="009B1638">
        <w:t xml:space="preserve">HDEC </w:t>
      </w:r>
      <w:r w:rsidR="0062754C">
        <w:t>review process</w:t>
      </w:r>
      <w:r w:rsidRPr="009B1638">
        <w:t xml:space="preserve">, </w:t>
      </w:r>
      <w:r>
        <w:t>it could</w:t>
      </w:r>
      <w:r w:rsidRPr="009B1638">
        <w:t xml:space="preserve"> slow down</w:t>
      </w:r>
      <w:r>
        <w:t xml:space="preserve"> approvals for</w:t>
      </w:r>
      <w:r w:rsidRPr="009B1638">
        <w:t xml:space="preserve"> research</w:t>
      </w:r>
      <w:r w:rsidR="0062754C">
        <w:t xml:space="preserve"> in NZ</w:t>
      </w:r>
    </w:p>
    <w:p w:rsidR="00B71650" w:rsidRPr="00CD323A" w:rsidRDefault="00B71650" w:rsidP="00901AA6">
      <w:pPr>
        <w:pStyle w:val="ListParagraph"/>
        <w:numPr>
          <w:ilvl w:val="0"/>
          <w:numId w:val="1"/>
        </w:numPr>
      </w:pPr>
      <w:r>
        <w:t>some</w:t>
      </w:r>
      <w:r w:rsidRPr="00CD323A">
        <w:t xml:space="preserve"> researchers</w:t>
      </w:r>
      <w:r>
        <w:t xml:space="preserve"> may not have</w:t>
      </w:r>
      <w:r w:rsidRPr="00CD323A">
        <w:t xml:space="preserve"> access to peer review</w:t>
      </w:r>
      <w:r>
        <w:t xml:space="preserve"> or to potential reviewers </w:t>
      </w:r>
      <w:r w:rsidR="00750FF4">
        <w:t xml:space="preserve">without conflict of interest </w:t>
      </w:r>
    </w:p>
    <w:p w:rsidR="00B71650" w:rsidRPr="00CD323A" w:rsidRDefault="00750FF4" w:rsidP="00901AA6">
      <w:pPr>
        <w:pStyle w:val="ListParagraph"/>
        <w:numPr>
          <w:ilvl w:val="0"/>
          <w:numId w:val="1"/>
        </w:numPr>
      </w:pPr>
      <w:r>
        <w:t xml:space="preserve">the </w:t>
      </w:r>
      <w:r w:rsidR="00B71650" w:rsidRPr="00CD323A">
        <w:t xml:space="preserve">peer review </w:t>
      </w:r>
      <w:r w:rsidR="00B71650">
        <w:t xml:space="preserve">requirement will </w:t>
      </w:r>
      <w:r w:rsidR="00B71650" w:rsidRPr="00CD323A">
        <w:t>place increased burden on institutions</w:t>
      </w:r>
      <w:r>
        <w:t xml:space="preserve"> </w:t>
      </w:r>
    </w:p>
    <w:p w:rsidR="00B71650" w:rsidRDefault="00703161" w:rsidP="0062754C">
      <w:pPr>
        <w:pStyle w:val="ListParagraph"/>
        <w:numPr>
          <w:ilvl w:val="0"/>
          <w:numId w:val="1"/>
        </w:numPr>
      </w:pPr>
      <w:proofErr w:type="gramStart"/>
      <w:r>
        <w:t>the</w:t>
      </w:r>
      <w:proofErr w:type="gramEnd"/>
      <w:r>
        <w:t xml:space="preserve"> need for peer review </w:t>
      </w:r>
      <w:r w:rsidR="00B71650">
        <w:t xml:space="preserve">could </w:t>
      </w:r>
      <w:r w:rsidR="0062754C">
        <w:t>creat</w:t>
      </w:r>
      <w:r w:rsidR="00B71650">
        <w:t>e a</w:t>
      </w:r>
      <w:r w:rsidR="00B71650" w:rsidRPr="00CD323A">
        <w:t xml:space="preserve"> new tier of bodies to assess and approve scientific validity</w:t>
      </w:r>
      <w:r>
        <w:t>.</w:t>
      </w:r>
    </w:p>
    <w:p w:rsidR="0062754C" w:rsidRDefault="0062754C" w:rsidP="0062754C"/>
    <w:p w:rsidR="00B71650" w:rsidRDefault="0062754C" w:rsidP="0062754C">
      <w:proofErr w:type="gramStart"/>
      <w:r>
        <w:rPr>
          <w:b/>
        </w:rPr>
        <w:t>Locality-specific governance issues.</w:t>
      </w:r>
      <w:proofErr w:type="gramEnd"/>
      <w:r>
        <w:t xml:space="preserve">  </w:t>
      </w:r>
      <w:r w:rsidR="00B71650" w:rsidRPr="009B189D">
        <w:t xml:space="preserve">Two respondents </w:t>
      </w:r>
      <w:r>
        <w:t>commented</w:t>
      </w:r>
      <w:r w:rsidR="00B71650" w:rsidRPr="009B189D">
        <w:t xml:space="preserve"> that locality</w:t>
      </w:r>
      <w:r>
        <w:t>-specific issues might</w:t>
      </w:r>
      <w:r w:rsidR="00B71650" w:rsidRPr="009B189D">
        <w:t xml:space="preserve"> have ethical implications, and that </w:t>
      </w:r>
      <w:r>
        <w:t>removing these issues from the HDEC review process as proposed could reduce protections for participants in research</w:t>
      </w:r>
      <w:r w:rsidR="00B71650">
        <w:t xml:space="preserve">. </w:t>
      </w:r>
    </w:p>
    <w:p w:rsidR="00B71650" w:rsidRDefault="00B71650" w:rsidP="00B71650"/>
    <w:p w:rsidR="00B71650" w:rsidRPr="00CD323A" w:rsidRDefault="00B71650" w:rsidP="00B71650">
      <w:r>
        <w:t>Other comments relating to locality governance included:</w:t>
      </w:r>
    </w:p>
    <w:p w:rsidR="00B71650" w:rsidRPr="00CD323A" w:rsidRDefault="0076220A" w:rsidP="00901AA6">
      <w:pPr>
        <w:pStyle w:val="ListParagraph"/>
        <w:numPr>
          <w:ilvl w:val="0"/>
          <w:numId w:val="1"/>
        </w:numPr>
      </w:pPr>
      <w:r>
        <w:t xml:space="preserve">that </w:t>
      </w:r>
      <w:r w:rsidR="00B71650" w:rsidRPr="00CD323A">
        <w:t>evidence of locality approval should be required</w:t>
      </w:r>
      <w:r w:rsidR="00194233">
        <w:t xml:space="preserve"> before HDEC approval</w:t>
      </w:r>
    </w:p>
    <w:p w:rsidR="00B71650" w:rsidRPr="00CD323A" w:rsidRDefault="0076220A" w:rsidP="00901AA6">
      <w:pPr>
        <w:pStyle w:val="ListParagraph"/>
        <w:numPr>
          <w:ilvl w:val="0"/>
          <w:numId w:val="1"/>
        </w:numPr>
      </w:pPr>
      <w:r>
        <w:t xml:space="preserve">a request to </w:t>
      </w:r>
      <w:r w:rsidR="00B71650" w:rsidRPr="00CD323A">
        <w:t>c</w:t>
      </w:r>
      <w:r w:rsidR="00B71650">
        <w:t>larify c</w:t>
      </w:r>
      <w:r w:rsidR="00B71650" w:rsidRPr="00CD323A">
        <w:t>onsequences for research carried out without locality approval</w:t>
      </w:r>
    </w:p>
    <w:p w:rsidR="00B71650" w:rsidRDefault="0076220A" w:rsidP="00901AA6">
      <w:pPr>
        <w:pStyle w:val="ListParagraph"/>
        <w:numPr>
          <w:ilvl w:val="0"/>
          <w:numId w:val="1"/>
        </w:numPr>
      </w:pPr>
      <w:proofErr w:type="gramStart"/>
      <w:r>
        <w:t>that</w:t>
      </w:r>
      <w:proofErr w:type="gramEnd"/>
      <w:r>
        <w:t xml:space="preserve"> </w:t>
      </w:r>
      <w:r w:rsidR="00B71650">
        <w:t xml:space="preserve">localities may need </w:t>
      </w:r>
      <w:r w:rsidR="00B71650" w:rsidRPr="00CD323A">
        <w:t xml:space="preserve">resources to carry out </w:t>
      </w:r>
      <w:r w:rsidR="00194233">
        <w:t>their role</w:t>
      </w:r>
      <w:r>
        <w:t>.</w:t>
      </w:r>
    </w:p>
    <w:p w:rsidR="0076220A" w:rsidRPr="00CD323A" w:rsidRDefault="0076220A" w:rsidP="0076220A"/>
    <w:p w:rsidR="00B71650" w:rsidRDefault="00A7067C" w:rsidP="00B71650">
      <w:proofErr w:type="gramStart"/>
      <w:r>
        <w:rPr>
          <w:b/>
        </w:rPr>
        <w:t>Legal advice.</w:t>
      </w:r>
      <w:proofErr w:type="gramEnd"/>
      <w:r>
        <w:rPr>
          <w:b/>
        </w:rPr>
        <w:t xml:space="preserve">  </w:t>
      </w:r>
      <w:r w:rsidR="00B71650">
        <w:t xml:space="preserve">One </w:t>
      </w:r>
      <w:r>
        <w:t>submitter</w:t>
      </w:r>
      <w:r w:rsidR="00B71650">
        <w:t xml:space="preserve"> felt that </w:t>
      </w:r>
      <w:r w:rsidR="00B71650" w:rsidRPr="00CD323A">
        <w:t>HDECs should be abl</w:t>
      </w:r>
      <w:r w:rsidR="00B71650">
        <w:t xml:space="preserve">e to withhold approval where they </w:t>
      </w:r>
      <w:r>
        <w:t xml:space="preserve">believe </w:t>
      </w:r>
      <w:r w:rsidR="009B6FD6">
        <w:t>that a study may raise unresolved legal issues</w:t>
      </w:r>
      <w:r w:rsidR="00B71650">
        <w:t>.</w:t>
      </w:r>
    </w:p>
    <w:p w:rsidR="0076220A" w:rsidRPr="00CD323A" w:rsidRDefault="0076220A" w:rsidP="00B71650"/>
    <w:p w:rsidR="00194233" w:rsidRDefault="00A7067C" w:rsidP="008C447C">
      <w:proofErr w:type="gramStart"/>
      <w:r>
        <w:rPr>
          <w:b/>
        </w:rPr>
        <w:t>Consultation with</w:t>
      </w:r>
      <w:r w:rsidR="008C447C">
        <w:rPr>
          <w:b/>
        </w:rPr>
        <w:t xml:space="preserve"> Māori and other</w:t>
      </w:r>
      <w:r>
        <w:rPr>
          <w:b/>
        </w:rPr>
        <w:t xml:space="preserve"> population groups.</w:t>
      </w:r>
      <w:proofErr w:type="gramEnd"/>
      <w:r>
        <w:rPr>
          <w:b/>
        </w:rPr>
        <w:t xml:space="preserve">  </w:t>
      </w:r>
      <w:r>
        <w:t>Several</w:t>
      </w:r>
      <w:r w:rsidR="00703161">
        <w:t xml:space="preserve"> respondents </w:t>
      </w:r>
      <w:r w:rsidR="00257F02">
        <w:t>raised</w:t>
      </w:r>
      <w:r w:rsidR="00B71650">
        <w:t xml:space="preserve"> </w:t>
      </w:r>
      <w:r>
        <w:t xml:space="preserve">concerns </w:t>
      </w:r>
      <w:r w:rsidR="00B71650">
        <w:t xml:space="preserve">about </w:t>
      </w:r>
      <w:r>
        <w:t xml:space="preserve">the draft SOPs proposals </w:t>
      </w:r>
      <w:r w:rsidR="00AA2592">
        <w:t>on consultation</w:t>
      </w:r>
      <w:r w:rsidR="00B71650">
        <w:t>.</w:t>
      </w:r>
      <w:r w:rsidR="008C447C">
        <w:t xml:space="preserve">  Nine </w:t>
      </w:r>
      <w:r w:rsidR="00B71650">
        <w:t xml:space="preserve">noted that </w:t>
      </w:r>
      <w:r w:rsidR="008C447C">
        <w:t>Māori</w:t>
      </w:r>
      <w:r w:rsidR="00B71650" w:rsidRPr="00CD323A">
        <w:t xml:space="preserve"> consultation </w:t>
      </w:r>
      <w:r w:rsidR="00B71650">
        <w:t xml:space="preserve">is </w:t>
      </w:r>
      <w:r w:rsidR="00194233">
        <w:t xml:space="preserve">currently </w:t>
      </w:r>
      <w:r w:rsidR="00B71650">
        <w:t>usually done as part of</w:t>
      </w:r>
      <w:r w:rsidR="00B71650" w:rsidRPr="00CD323A">
        <w:t xml:space="preserve"> locality review</w:t>
      </w:r>
      <w:r w:rsidR="00B71650">
        <w:t>, and is</w:t>
      </w:r>
      <w:r w:rsidR="00B71650" w:rsidRPr="00CD323A">
        <w:t xml:space="preserve"> hence </w:t>
      </w:r>
      <w:r w:rsidR="00B71650">
        <w:t xml:space="preserve">carried out </w:t>
      </w:r>
      <w:r w:rsidR="008C447C">
        <w:t xml:space="preserve">in </w:t>
      </w:r>
      <w:r w:rsidR="00B71650" w:rsidRPr="00CD323A">
        <w:t>parallel with HDEC submission</w:t>
      </w:r>
      <w:r w:rsidR="00B71650">
        <w:t>,</w:t>
      </w:r>
      <w:r w:rsidR="00B71650" w:rsidRPr="00CD323A">
        <w:t xml:space="preserve"> </w:t>
      </w:r>
      <w:r w:rsidR="008C447C">
        <w:t>whereas</w:t>
      </w:r>
      <w:r w:rsidR="00B71650">
        <w:t xml:space="preserve"> the draft SOPs</w:t>
      </w:r>
      <w:r w:rsidR="008C447C">
        <w:t xml:space="preserve"> suggested that </w:t>
      </w:r>
      <w:r w:rsidR="00194233">
        <w:t>it</w:t>
      </w:r>
      <w:r w:rsidR="008C447C">
        <w:t xml:space="preserve"> should be carried out before HDEC review.  </w:t>
      </w:r>
      <w:r w:rsidR="00194233">
        <w:t>There was concern that this could create a barrier to study approval.</w:t>
      </w:r>
    </w:p>
    <w:p w:rsidR="00194233" w:rsidRDefault="00194233" w:rsidP="008C447C"/>
    <w:p w:rsidR="00B71650" w:rsidRPr="00CD323A" w:rsidRDefault="00B71650" w:rsidP="008C447C">
      <w:r>
        <w:t xml:space="preserve">Five respondents thought the determination of </w:t>
      </w:r>
      <w:r w:rsidRPr="00CD323A">
        <w:t>need for Maori consultation should not be left to researchers</w:t>
      </w:r>
      <w:r>
        <w:t xml:space="preserve">, and that </w:t>
      </w:r>
      <w:r w:rsidRPr="00CD323A">
        <w:t xml:space="preserve">clear guidelines </w:t>
      </w:r>
      <w:r w:rsidR="008C447C">
        <w:t>would be</w:t>
      </w:r>
      <w:r>
        <w:t xml:space="preserve"> </w:t>
      </w:r>
      <w:r w:rsidRPr="00CD323A">
        <w:t>needed</w:t>
      </w:r>
      <w:r>
        <w:t xml:space="preserve"> for whether or not such c</w:t>
      </w:r>
      <w:r w:rsidR="0076220A">
        <w:t>onsultation should occur.</w:t>
      </w:r>
      <w:r w:rsidR="008C447C">
        <w:t xml:space="preserve">  </w:t>
      </w:r>
      <w:r w:rsidR="0076220A">
        <w:t>O</w:t>
      </w:r>
      <w:r>
        <w:t xml:space="preserve">ne </w:t>
      </w:r>
      <w:r w:rsidR="008C447C">
        <w:t xml:space="preserve">respondent suggested </w:t>
      </w:r>
      <w:r>
        <w:t xml:space="preserve">that </w:t>
      </w:r>
      <w:r w:rsidRPr="00CD323A">
        <w:t>HDEC</w:t>
      </w:r>
      <w:r>
        <w:t>s</w:t>
      </w:r>
      <w:r w:rsidRPr="00CD323A">
        <w:t xml:space="preserve"> should be allowed to evaluate </w:t>
      </w:r>
      <w:r>
        <w:t xml:space="preserve">the </w:t>
      </w:r>
      <w:r w:rsidRPr="00CD323A">
        <w:t>ethical relevance of concerns raised during</w:t>
      </w:r>
      <w:r>
        <w:t xml:space="preserve"> any such </w:t>
      </w:r>
      <w:r w:rsidRPr="00CD323A">
        <w:t>consultation</w:t>
      </w:r>
      <w:r>
        <w:t>.</w:t>
      </w:r>
    </w:p>
    <w:p w:rsidR="00626903" w:rsidRDefault="00626903" w:rsidP="00B71650"/>
    <w:p w:rsidR="00626903" w:rsidRDefault="00626903" w:rsidP="00626903">
      <w:pPr>
        <w:pStyle w:val="Heading2"/>
      </w:pPr>
      <w:bookmarkStart w:id="7" w:name="_Toc319588515"/>
      <w:bookmarkStart w:id="8" w:name="_Toc324258574"/>
      <w:r>
        <w:t>Section 3: Scope of HDEC review</w:t>
      </w:r>
      <w:bookmarkEnd w:id="7"/>
      <w:bookmarkEnd w:id="8"/>
    </w:p>
    <w:p w:rsidR="00A7067C" w:rsidRDefault="00A7067C" w:rsidP="00626903"/>
    <w:p w:rsidR="00626903" w:rsidRDefault="00A7067C" w:rsidP="00626903">
      <w:r>
        <w:rPr>
          <w:noProof/>
          <w:lang w:eastAsia="en-NZ"/>
        </w:rPr>
        <w:drawing>
          <wp:inline distT="0" distB="0" distL="0" distR="0" wp14:anchorId="73AD3A98" wp14:editId="57ADC890">
            <wp:extent cx="5727700" cy="1524000"/>
            <wp:effectExtent l="0" t="0" r="25400"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67C" w:rsidRDefault="00A7067C" w:rsidP="00626903"/>
    <w:p w:rsidR="00A7067C" w:rsidRDefault="00626903" w:rsidP="00626903">
      <w:r w:rsidRPr="00626903">
        <w:t xml:space="preserve">Thirty-two respondents </w:t>
      </w:r>
      <w:r w:rsidR="00347F87">
        <w:t xml:space="preserve">commented on </w:t>
      </w:r>
      <w:r w:rsidR="00A7067C">
        <w:t>this section of the draft SOPs</w:t>
      </w:r>
      <w:r w:rsidRPr="00626903">
        <w:t xml:space="preserve">.  </w:t>
      </w:r>
    </w:p>
    <w:p w:rsidR="00A7067C" w:rsidRDefault="00A7067C" w:rsidP="00626903"/>
    <w:p w:rsidR="00626903" w:rsidRDefault="00626903" w:rsidP="00347F87">
      <w:r w:rsidRPr="00626903">
        <w:t xml:space="preserve">The most frequent responses related to the </w:t>
      </w:r>
      <w:r w:rsidR="00347F87">
        <w:t>draft SOPs’ proposals for reducing the scope of HDEC review to focus on higher-risk research</w:t>
      </w:r>
      <w:r w:rsidR="0076220A">
        <w:t>.  This</w:t>
      </w:r>
      <w:r w:rsidRPr="00626903">
        <w:t xml:space="preserve"> included</w:t>
      </w:r>
      <w:r w:rsidR="00347F87">
        <w:t xml:space="preserve"> concern about </w:t>
      </w:r>
      <w:r w:rsidRPr="00626903">
        <w:t>what would happen to research that would fall outside the sc</w:t>
      </w:r>
      <w:r w:rsidR="0076220A">
        <w:t>ope of HDECs and</w:t>
      </w:r>
      <w:r w:rsidRPr="00626903">
        <w:t xml:space="preserve"> work displaced onto other committees, </w:t>
      </w:r>
      <w:r w:rsidR="00AA2592">
        <w:t xml:space="preserve">and </w:t>
      </w:r>
      <w:r w:rsidR="00347F87">
        <w:t>the relationship between HDEC review and ability to publish</w:t>
      </w:r>
      <w:r w:rsidR="00AA2592">
        <w:t xml:space="preserve"> results</w:t>
      </w:r>
      <w:r w:rsidR="00347F87">
        <w:t xml:space="preserve"> in peer-reviewed journals</w:t>
      </w:r>
      <w:r w:rsidRPr="00626903">
        <w:t xml:space="preserve">. </w:t>
      </w:r>
    </w:p>
    <w:p w:rsidR="00060DFC" w:rsidRDefault="00060DFC" w:rsidP="00626903"/>
    <w:p w:rsidR="00AA2592" w:rsidRDefault="00AA2592" w:rsidP="00AA2592">
      <w:proofErr w:type="gramStart"/>
      <w:r>
        <w:rPr>
          <w:b/>
        </w:rPr>
        <w:t>Restricting the scope of review.</w:t>
      </w:r>
      <w:proofErr w:type="gramEnd"/>
      <w:r>
        <w:t xml:space="preserve">  A number of submitters considered that the scope of HDEC review proposed in the draft SOPs was too restrictive, and too focussed on drug trials.  Some submitters considered that </w:t>
      </w:r>
      <w:r w:rsidRPr="006C2358">
        <w:rPr>
          <w:i/>
        </w:rPr>
        <w:t>all</w:t>
      </w:r>
      <w:r>
        <w:t xml:space="preserve"> intervention and observational studies should be reviewed by HDECs, while others made a wide variety of specific suggestions as to which research should continue to be included in the scope of </w:t>
      </w:r>
      <w:r w:rsidR="00A061F4">
        <w:t>HDEC review.  These included</w:t>
      </w:r>
      <w:r>
        <w:t xml:space="preserve"> research involving:</w:t>
      </w:r>
    </w:p>
    <w:p w:rsidR="00AA2592" w:rsidRDefault="00AA2592" w:rsidP="00AA2592"/>
    <w:p w:rsidR="00AA2592" w:rsidRDefault="00AA2592" w:rsidP="00AA2592">
      <w:pPr>
        <w:pStyle w:val="ListParagraph"/>
        <w:numPr>
          <w:ilvl w:val="0"/>
          <w:numId w:val="64"/>
        </w:numPr>
      </w:pPr>
      <w:r>
        <w:t>human tissue</w:t>
      </w:r>
    </w:p>
    <w:p w:rsidR="00AA2592" w:rsidRDefault="00AA2592" w:rsidP="00AA2592">
      <w:pPr>
        <w:pStyle w:val="ListParagraph"/>
        <w:numPr>
          <w:ilvl w:val="0"/>
          <w:numId w:val="64"/>
        </w:numPr>
      </w:pPr>
      <w:r>
        <w:t>medical devices, regardless of class or risk</w:t>
      </w:r>
    </w:p>
    <w:p w:rsidR="00AA2592" w:rsidRDefault="00AA2592" w:rsidP="00AA2592">
      <w:pPr>
        <w:pStyle w:val="ListParagraph"/>
        <w:numPr>
          <w:ilvl w:val="0"/>
          <w:numId w:val="64"/>
        </w:numPr>
      </w:pPr>
      <w:r>
        <w:t>medical professionals and other DHB staff</w:t>
      </w:r>
    </w:p>
    <w:p w:rsidR="00AA2592" w:rsidRDefault="00AA2592" w:rsidP="00AA2592">
      <w:pPr>
        <w:pStyle w:val="ListParagraph"/>
        <w:numPr>
          <w:ilvl w:val="0"/>
          <w:numId w:val="64"/>
        </w:numPr>
      </w:pPr>
      <w:r>
        <w:t>linked data sets</w:t>
      </w:r>
    </w:p>
    <w:p w:rsidR="00AA2592" w:rsidRDefault="00AA2592" w:rsidP="00AA2592">
      <w:pPr>
        <w:pStyle w:val="ListParagraph"/>
        <w:numPr>
          <w:ilvl w:val="0"/>
          <w:numId w:val="64"/>
        </w:numPr>
      </w:pPr>
      <w:r>
        <w:t>qualitative research</w:t>
      </w:r>
    </w:p>
    <w:p w:rsidR="00AA2592" w:rsidRDefault="00AA2592" w:rsidP="00AA2592">
      <w:pPr>
        <w:pStyle w:val="ListParagraph"/>
        <w:numPr>
          <w:ilvl w:val="0"/>
          <w:numId w:val="64"/>
        </w:numPr>
      </w:pPr>
      <w:r>
        <w:t>large databases</w:t>
      </w:r>
    </w:p>
    <w:p w:rsidR="00AA2592" w:rsidRDefault="00AA2592" w:rsidP="00AA2592">
      <w:pPr>
        <w:pStyle w:val="ListParagraph"/>
        <w:numPr>
          <w:ilvl w:val="0"/>
          <w:numId w:val="64"/>
        </w:numPr>
      </w:pPr>
      <w:proofErr w:type="gramStart"/>
      <w:r>
        <w:t>the</w:t>
      </w:r>
      <w:proofErr w:type="gramEnd"/>
      <w:r>
        <w:t xml:space="preserve"> establishment of tissue banks.</w:t>
      </w:r>
    </w:p>
    <w:p w:rsidR="00AA2592" w:rsidRPr="00261A8B" w:rsidRDefault="00AA2592" w:rsidP="00AA2592">
      <w:pPr>
        <w:pStyle w:val="ListParagraph"/>
      </w:pPr>
    </w:p>
    <w:p w:rsidR="00A7067C" w:rsidRDefault="00A7067C" w:rsidP="00626903">
      <w:proofErr w:type="gramStart"/>
      <w:r>
        <w:rPr>
          <w:b/>
        </w:rPr>
        <w:t>Student research.</w:t>
      </w:r>
      <w:proofErr w:type="gramEnd"/>
      <w:r>
        <w:t xml:space="preserve">  Twenty-two respondents considered that whether or not a study is being carried out for an educational qualification should have no bearing on how it is treated by the HDEC review process.</w:t>
      </w:r>
    </w:p>
    <w:p w:rsidR="00A7067C" w:rsidRDefault="00A7067C" w:rsidP="00626903"/>
    <w:p w:rsidR="00A7067C" w:rsidRPr="00A7067C" w:rsidRDefault="00A7067C" w:rsidP="00A7067C">
      <w:pPr>
        <w:pStyle w:val="Quote"/>
      </w:pPr>
      <w:r>
        <w:t>“</w:t>
      </w:r>
      <w:r w:rsidRPr="004949CD">
        <w:t xml:space="preserve">Many studies being conducted by Masters </w:t>
      </w:r>
      <w:proofErr w:type="gramStart"/>
      <w:r w:rsidRPr="004949CD">
        <w:t>students</w:t>
      </w:r>
      <w:proofErr w:type="gramEnd"/>
      <w:r w:rsidRPr="004949CD">
        <w:t xml:space="preserve"> satisfy all the requirements for full review in terms design, source of participants and risk. It is completely artificial to put this division on what requires HDEC review and is opening up a loop hole for researchers to choose the form of ethical re</w:t>
      </w:r>
      <w:r>
        <w:t>view that a study will receive</w:t>
      </w:r>
      <w:r w:rsidRPr="004949CD">
        <w:t>.</w:t>
      </w:r>
      <w:r>
        <w:t>”</w:t>
      </w:r>
    </w:p>
    <w:p w:rsidR="00A7067C" w:rsidRDefault="00A7067C" w:rsidP="00626903"/>
    <w:p w:rsidR="000B7DC0" w:rsidRDefault="000B7DC0" w:rsidP="00626903">
      <w:r>
        <w:t>O</w:t>
      </w:r>
      <w:r w:rsidR="002F6622">
        <w:t>n the other hand, o</w:t>
      </w:r>
      <w:r>
        <w:t xml:space="preserve">ne respondent </w:t>
      </w:r>
      <w:r w:rsidR="002F6622">
        <w:t xml:space="preserve">specifically </w:t>
      </w:r>
      <w:r>
        <w:t>supported removing student projects from the scope of HDEC review.</w:t>
      </w:r>
    </w:p>
    <w:p w:rsidR="000B7DC0" w:rsidRDefault="000B7DC0" w:rsidP="00626903"/>
    <w:p w:rsidR="000B7DC0" w:rsidRDefault="002F6622" w:rsidP="002F6622">
      <w:pPr>
        <w:pStyle w:val="Quote"/>
      </w:pPr>
      <w:r>
        <w:t>“</w:t>
      </w:r>
      <w:r w:rsidR="000B7DC0">
        <w:t xml:space="preserve">[We are] pleased </w:t>
      </w:r>
      <w:r>
        <w:t>that student research (except intervention studies at or above doctoral level) has been shifted from the mainstream agendas of full ethics committees.  University ethics committees can, and should, take responsibility for overseeing and approving these studies.  This will also lessen the workload of HDECs.”</w:t>
      </w:r>
    </w:p>
    <w:p w:rsidR="000B7DC0" w:rsidRDefault="000B7DC0" w:rsidP="00626903"/>
    <w:p w:rsidR="00C62E98" w:rsidRPr="00C62E98" w:rsidRDefault="00C62E98" w:rsidP="00A7067C"/>
    <w:p w:rsidR="00626903" w:rsidRDefault="00A7067C" w:rsidP="00A7067C">
      <w:proofErr w:type="gramStart"/>
      <w:r>
        <w:rPr>
          <w:b/>
        </w:rPr>
        <w:t>Definitions.</w:t>
      </w:r>
      <w:proofErr w:type="gramEnd"/>
      <w:r>
        <w:t xml:space="preserve">  Ten respondents thought that clearer </w:t>
      </w:r>
      <w:r w:rsidRPr="006D4F3D">
        <w:fldChar w:fldCharType="begin"/>
      </w:r>
      <w:r w:rsidRPr="006D4F3D">
        <w:instrText xml:space="preserve"> LINK </w:instrText>
      </w:r>
      <w:r>
        <w:instrText xml:space="preserve">Excel.Sheet.12 "C:\\Documents and Settings\\lteal\\My Documents\\1039 Thur Feedback on draft SOPs Feb 2012.xlsx" "SOP 3!R1C3:R1C5" </w:instrText>
      </w:r>
      <w:r w:rsidRPr="006D4F3D">
        <w:instrText xml:space="preserve">\a \f 4 \h </w:instrText>
      </w:r>
      <w:r>
        <w:instrText xml:space="preserve"> \* MERGEFORMAT </w:instrText>
      </w:r>
      <w:r w:rsidRPr="006D4F3D">
        <w:fldChar w:fldCharType="separate"/>
      </w:r>
      <w:r w:rsidRPr="006D4F3D">
        <w:t>definition</w:t>
      </w:r>
      <w:r>
        <w:t>s</w:t>
      </w:r>
      <w:r w:rsidRPr="006D4F3D">
        <w:t xml:space="preserve"> of </w:t>
      </w:r>
      <w:r>
        <w:t>"</w:t>
      </w:r>
      <w:r w:rsidRPr="006D4F3D">
        <w:t>low-risk</w:t>
      </w:r>
      <w:r>
        <w:t>"</w:t>
      </w:r>
      <w:r w:rsidRPr="006D4F3D">
        <w:t xml:space="preserve">, </w:t>
      </w:r>
      <w:r>
        <w:t>"</w:t>
      </w:r>
      <w:r w:rsidRPr="006D4F3D">
        <w:t>minimal ri</w:t>
      </w:r>
      <w:r>
        <w:t>sk," and "more-than-minimal risk" would be required.</w:t>
      </w:r>
      <w:r w:rsidRPr="006D4F3D">
        <w:fldChar w:fldCharType="end"/>
      </w:r>
      <w:r>
        <w:t xml:space="preserve">  Four submitters </w:t>
      </w:r>
      <w:r w:rsidR="00626903">
        <w:t xml:space="preserve">thought that the </w:t>
      </w:r>
      <w:r w:rsidR="00626903" w:rsidRPr="006D4F3D">
        <w:t xml:space="preserve">definitions of observational </w:t>
      </w:r>
      <w:r w:rsidR="00626903">
        <w:t xml:space="preserve">studies and </w:t>
      </w:r>
      <w:r w:rsidR="00626903" w:rsidRPr="006D4F3D">
        <w:t xml:space="preserve">intervention </w:t>
      </w:r>
      <w:r w:rsidR="00626903">
        <w:t xml:space="preserve">studies </w:t>
      </w:r>
      <w:r w:rsidR="002F6622">
        <w:t xml:space="preserve">contained </w:t>
      </w:r>
      <w:r>
        <w:t xml:space="preserve">in the draft SOPs </w:t>
      </w:r>
      <w:r w:rsidR="0076220A">
        <w:t>were</w:t>
      </w:r>
      <w:r w:rsidR="00626903">
        <w:t xml:space="preserve"> </w:t>
      </w:r>
      <w:r w:rsidR="00626903" w:rsidRPr="006D4F3D">
        <w:t>too simple</w:t>
      </w:r>
      <w:r>
        <w:t xml:space="preserve">, and that these needed to be </w:t>
      </w:r>
      <w:r w:rsidR="002F6622">
        <w:t>checked for consistency</w:t>
      </w:r>
      <w:r>
        <w:t xml:space="preserve"> wi</w:t>
      </w:r>
      <w:r w:rsidR="007E039D">
        <w:t xml:space="preserve">th the NEAC guidelines.  Others </w:t>
      </w:r>
      <w:r w:rsidR="002F6622">
        <w:t>asked</w:t>
      </w:r>
      <w:r w:rsidR="009B6FD6">
        <w:t xml:space="preserve"> that</w:t>
      </w:r>
      <w:r w:rsidR="007E039D">
        <w:t xml:space="preserve"> the </w:t>
      </w:r>
      <w:r w:rsidR="009B6FD6">
        <w:t>medical device risk classification</w:t>
      </w:r>
      <w:r w:rsidR="007E039D">
        <w:t xml:space="preserve"> </w:t>
      </w:r>
      <w:r w:rsidR="009B6FD6">
        <w:t>be based on New Zealand (rather than Australian) rules.</w:t>
      </w:r>
      <w:r w:rsidR="007E039D">
        <w:t xml:space="preserve"> </w:t>
      </w:r>
    </w:p>
    <w:p w:rsidR="00060DFC" w:rsidRDefault="00060DFC">
      <w:pPr>
        <w:spacing w:after="200" w:line="276" w:lineRule="auto"/>
        <w:rPr>
          <w:rFonts w:asciiTheme="majorHAnsi" w:eastAsiaTheme="majorEastAsia" w:hAnsiTheme="majorHAnsi" w:cstheme="majorBidi"/>
          <w:b/>
          <w:bCs/>
          <w:color w:val="365F91" w:themeColor="accent1" w:themeShade="BF"/>
          <w:sz w:val="28"/>
          <w:szCs w:val="26"/>
        </w:rPr>
      </w:pPr>
      <w:bookmarkStart w:id="9" w:name="_Toc319588518"/>
    </w:p>
    <w:p w:rsidR="00577AC9" w:rsidRDefault="00577AC9" w:rsidP="00577AC9">
      <w:pPr>
        <w:pStyle w:val="Heading2"/>
      </w:pPr>
      <w:bookmarkStart w:id="10" w:name="_Toc324258575"/>
      <w:r>
        <w:t>Section 4: Applying for HDEC review</w:t>
      </w:r>
      <w:bookmarkEnd w:id="9"/>
      <w:bookmarkEnd w:id="10"/>
    </w:p>
    <w:p w:rsidR="007E039D" w:rsidRDefault="007E039D" w:rsidP="00577AC9"/>
    <w:p w:rsidR="007E039D" w:rsidRDefault="007E039D" w:rsidP="00577AC9">
      <w:r>
        <w:rPr>
          <w:noProof/>
          <w:lang w:eastAsia="en-NZ"/>
        </w:rPr>
        <w:drawing>
          <wp:inline distT="0" distB="0" distL="0" distR="0" wp14:anchorId="40F41301" wp14:editId="6E89ED45">
            <wp:extent cx="5727700" cy="1524000"/>
            <wp:effectExtent l="0" t="0" r="25400" b="190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039D" w:rsidRDefault="007E039D" w:rsidP="00577AC9"/>
    <w:p w:rsidR="007E039D" w:rsidRDefault="00577AC9" w:rsidP="00577AC9">
      <w:r>
        <w:t xml:space="preserve">Twenty-two respondents commented on </w:t>
      </w:r>
      <w:r w:rsidR="007E039D">
        <w:t>this section of the draft SOPs, with general support for the Government’s decision to introduce an electronic application system</w:t>
      </w:r>
      <w:r w:rsidR="009B6FD6">
        <w:t xml:space="preserve"> for HDEC review from 1 July 2012</w:t>
      </w:r>
      <w:r w:rsidR="007E039D">
        <w:t>.</w:t>
      </w:r>
    </w:p>
    <w:p w:rsidR="007E039D" w:rsidRDefault="007E039D" w:rsidP="00577AC9"/>
    <w:p w:rsidR="007E039D" w:rsidRDefault="007E039D" w:rsidP="007E039D">
      <w:r w:rsidRPr="007E039D">
        <w:rPr>
          <w:b/>
        </w:rPr>
        <w:t>Study documents.</w:t>
      </w:r>
      <w:r>
        <w:t xml:space="preserve">  </w:t>
      </w:r>
      <w:r w:rsidR="003924C3">
        <w:t>The majority of submission</w:t>
      </w:r>
      <w:r>
        <w:t>s on this section related to the documents that must be submitted with applications for HDEC review</w:t>
      </w:r>
      <w:r w:rsidR="004422D4">
        <w:t>, with c</w:t>
      </w:r>
      <w:r>
        <w:t xml:space="preserve">omments </w:t>
      </w:r>
      <w:r w:rsidR="003924C3">
        <w:t xml:space="preserve">largely </w:t>
      </w:r>
      <w:r>
        <w:t xml:space="preserve">focussed on the </w:t>
      </w:r>
      <w:r w:rsidR="004422D4">
        <w:t xml:space="preserve">draft SOPs’ </w:t>
      </w:r>
      <w:r>
        <w:t xml:space="preserve">proposal that not all study documents be required to be </w:t>
      </w:r>
      <w:r w:rsidR="004422D4">
        <w:t>submitted.  Submitters from the clinical research sector noted that international audit requirements would require all study documents be submitted and acknowledged.  Others considered that HDECs should continue to be required to review all information to be provided to participants in studies, and questioned the use</w:t>
      </w:r>
      <w:r w:rsidR="00DA7991">
        <w:t>fulness</w:t>
      </w:r>
      <w:r w:rsidR="004422D4">
        <w:t xml:space="preserve"> of </w:t>
      </w:r>
      <w:r w:rsidR="00DA7991">
        <w:t>“</w:t>
      </w:r>
      <w:r w:rsidR="004422D4">
        <w:t>common sense</w:t>
      </w:r>
      <w:r w:rsidR="00DA7991">
        <w:t>’</w:t>
      </w:r>
      <w:r w:rsidR="004422D4">
        <w:t xml:space="preserve"> as a criterion in deciding what should be submitted.</w:t>
      </w:r>
    </w:p>
    <w:p w:rsidR="004422D4" w:rsidRDefault="004422D4" w:rsidP="007E039D"/>
    <w:p w:rsidR="004422D4" w:rsidRDefault="004422D4" w:rsidP="007E039D">
      <w:r>
        <w:t xml:space="preserve">Six respondents thought the SOPs should provide greater clarity as to </w:t>
      </w:r>
      <w:r w:rsidRPr="005C4956">
        <w:t xml:space="preserve">what </w:t>
      </w:r>
      <w:r w:rsidR="00DA7991">
        <w:t>might</w:t>
      </w:r>
      <w:r>
        <w:t xml:space="preserve"> </w:t>
      </w:r>
      <w:r w:rsidRPr="005C4956">
        <w:t>constitute</w:t>
      </w:r>
      <w:r>
        <w:t xml:space="preserve"> </w:t>
      </w:r>
      <w:r w:rsidRPr="005C4956">
        <w:t>evidence of peer review</w:t>
      </w:r>
      <w:r>
        <w:t xml:space="preserve">, with </w:t>
      </w:r>
      <w:r w:rsidRPr="005C4956">
        <w:t xml:space="preserve">one respondent </w:t>
      </w:r>
      <w:r w:rsidR="00DA7991">
        <w:t>asking</w:t>
      </w:r>
      <w:r>
        <w:t xml:space="preserve"> </w:t>
      </w:r>
      <w:r w:rsidRPr="005C4956">
        <w:t xml:space="preserve">what would happen </w:t>
      </w:r>
      <w:r w:rsidR="00DA7991">
        <w:t>if peer review was neutral or not entirely favourable</w:t>
      </w:r>
      <w:r>
        <w:t>.</w:t>
      </w:r>
    </w:p>
    <w:p w:rsidR="004422D4" w:rsidRDefault="004422D4" w:rsidP="007E039D"/>
    <w:p w:rsidR="004422D4" w:rsidRDefault="004422D4" w:rsidP="007E039D">
      <w:r>
        <w:t xml:space="preserve">Other comments included that more than one </w:t>
      </w:r>
      <w:r w:rsidR="004131D0">
        <w:t>version of a document type (such as investigator’s brochure)</w:t>
      </w:r>
      <w:r>
        <w:t xml:space="preserve"> might need to be submitted for the same study</w:t>
      </w:r>
      <w:r w:rsidR="004131D0">
        <w:t>, and suggested that this be envisaged in the draft SOPs and the electronic application system.</w:t>
      </w:r>
    </w:p>
    <w:p w:rsidR="007E039D" w:rsidRDefault="007E039D" w:rsidP="00577AC9">
      <w:pPr>
        <w:rPr>
          <w:b/>
        </w:rPr>
      </w:pPr>
    </w:p>
    <w:p w:rsidR="007E039D" w:rsidRDefault="007E039D" w:rsidP="00577AC9">
      <w:proofErr w:type="gramStart"/>
      <w:r>
        <w:rPr>
          <w:b/>
        </w:rPr>
        <w:t>Transition to electronic applications.</w:t>
      </w:r>
      <w:proofErr w:type="gramEnd"/>
      <w:r>
        <w:t xml:space="preserve">  </w:t>
      </w:r>
      <w:r w:rsidR="004422D4">
        <w:t xml:space="preserve">Some submitters raised concerns about the </w:t>
      </w:r>
      <w:r w:rsidR="003924C3">
        <w:t xml:space="preserve">process of </w:t>
      </w:r>
      <w:r w:rsidR="004422D4">
        <w:t>transition</w:t>
      </w:r>
      <w:r w:rsidR="003924C3">
        <w:t>ing</w:t>
      </w:r>
      <w:r w:rsidR="004422D4">
        <w:t xml:space="preserve"> to a new</w:t>
      </w:r>
      <w:r w:rsidR="003924C3">
        <w:t xml:space="preserve"> electronic</w:t>
      </w:r>
      <w:r w:rsidR="004422D4">
        <w:t xml:space="preserve"> application process, noting the need </w:t>
      </w:r>
      <w:r w:rsidR="003924C3">
        <w:t xml:space="preserve">to ensure that </w:t>
      </w:r>
      <w:r w:rsidR="004131D0">
        <w:t>the new system was secure and that all parties were adequately trained in its use</w:t>
      </w:r>
      <w:r w:rsidR="003924C3">
        <w:t>.</w:t>
      </w:r>
    </w:p>
    <w:p w:rsidR="003924C3" w:rsidRDefault="003924C3" w:rsidP="00577AC9"/>
    <w:p w:rsidR="003924C3" w:rsidRPr="003924C3" w:rsidRDefault="003924C3" w:rsidP="00577AC9">
      <w:proofErr w:type="gramStart"/>
      <w:r>
        <w:rPr>
          <w:b/>
        </w:rPr>
        <w:t>Sub-studies.</w:t>
      </w:r>
      <w:proofErr w:type="gramEnd"/>
      <w:r>
        <w:t xml:space="preserve">  Three respondents considered that the requirement to include all sub-studies on the initial study application might be too restrictive, and could stymie research</w:t>
      </w:r>
      <w:r w:rsidRPr="003924C3">
        <w:t xml:space="preserve"> </w:t>
      </w:r>
      <w:r>
        <w:t>in some cases.</w:t>
      </w:r>
    </w:p>
    <w:p w:rsidR="00380F56" w:rsidRDefault="00380F56" w:rsidP="00380F56"/>
    <w:p w:rsidR="00C76B46" w:rsidRDefault="00C76B46" w:rsidP="00C76B46">
      <w:pPr>
        <w:pStyle w:val="Heading2"/>
      </w:pPr>
      <w:bookmarkStart w:id="11" w:name="_Toc319588522"/>
      <w:bookmarkStart w:id="12" w:name="_Toc324258576"/>
      <w:r>
        <w:t>Section 5: The full review pathway</w:t>
      </w:r>
      <w:bookmarkEnd w:id="11"/>
      <w:bookmarkEnd w:id="12"/>
    </w:p>
    <w:p w:rsidR="003924C3" w:rsidRDefault="003924C3" w:rsidP="003924C3"/>
    <w:p w:rsidR="003924C3" w:rsidRDefault="003924C3" w:rsidP="003924C3">
      <w:r>
        <w:rPr>
          <w:noProof/>
          <w:lang w:eastAsia="en-NZ"/>
        </w:rPr>
        <w:drawing>
          <wp:inline distT="0" distB="0" distL="0" distR="0" wp14:anchorId="3C605D16" wp14:editId="57DFF9EB">
            <wp:extent cx="5727700" cy="1524000"/>
            <wp:effectExtent l="0" t="0" r="2540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24C3" w:rsidRDefault="003924C3" w:rsidP="003924C3"/>
    <w:p w:rsidR="003924C3" w:rsidRDefault="003924C3" w:rsidP="003924C3">
      <w:r>
        <w:t>Thirty-</w:t>
      </w:r>
      <w:r w:rsidR="00747698">
        <w:t>one</w:t>
      </w:r>
      <w:r>
        <w:t xml:space="preserve"> respondents provided feedback on this section of the draft SOPs.</w:t>
      </w:r>
    </w:p>
    <w:p w:rsidR="003924C3" w:rsidRDefault="003924C3" w:rsidP="003924C3"/>
    <w:p w:rsidR="00D103B8" w:rsidRDefault="003924C3" w:rsidP="003924C3">
      <w:proofErr w:type="gramStart"/>
      <w:r>
        <w:rPr>
          <w:b/>
        </w:rPr>
        <w:t>Scope of full review pathway.</w:t>
      </w:r>
      <w:proofErr w:type="gramEnd"/>
      <w:r>
        <w:t xml:space="preserve">  </w:t>
      </w:r>
      <w:r w:rsidR="00711CC0">
        <w:t>A number of</w:t>
      </w:r>
      <w:r w:rsidR="00D103B8">
        <w:t xml:space="preserve"> submitters suggested that the scope of the full review pathway proposed in the draft SOPs was too restrictive</w:t>
      </w:r>
      <w:r w:rsidR="00711CC0">
        <w:t>, and made</w:t>
      </w:r>
      <w:r w:rsidR="00D103B8">
        <w:t xml:space="preserve"> specific suggestions were made as to which studies should remain within this scope, including:</w:t>
      </w:r>
    </w:p>
    <w:p w:rsidR="00D103B8" w:rsidRDefault="00D103B8" w:rsidP="003924C3"/>
    <w:p w:rsidR="00D103B8" w:rsidRDefault="00D103B8" w:rsidP="00D103B8">
      <w:pPr>
        <w:pStyle w:val="ListParagraph"/>
        <w:numPr>
          <w:ilvl w:val="0"/>
          <w:numId w:val="64"/>
        </w:numPr>
      </w:pPr>
      <w:r>
        <w:t>all intervention studies / clinical trials</w:t>
      </w:r>
    </w:p>
    <w:p w:rsidR="002C6D50" w:rsidRDefault="002C6D50" w:rsidP="00D103B8">
      <w:pPr>
        <w:pStyle w:val="ListParagraph"/>
        <w:numPr>
          <w:ilvl w:val="0"/>
          <w:numId w:val="64"/>
        </w:numPr>
      </w:pPr>
      <w:r>
        <w:t>studies involving medical devices other than class III and ac</w:t>
      </w:r>
      <w:r w:rsidR="00711CC0">
        <w:t>t</w:t>
      </w:r>
      <w:r>
        <w:t xml:space="preserve">ive implantable medical devices, particularly class </w:t>
      </w:r>
      <w:proofErr w:type="spellStart"/>
      <w:r>
        <w:t>IIb</w:t>
      </w:r>
      <w:proofErr w:type="spellEnd"/>
      <w:r>
        <w:t xml:space="preserve"> devices</w:t>
      </w:r>
    </w:p>
    <w:p w:rsidR="003924C3" w:rsidRDefault="00D103B8" w:rsidP="00D103B8">
      <w:pPr>
        <w:pStyle w:val="ListParagraph"/>
        <w:numPr>
          <w:ilvl w:val="0"/>
          <w:numId w:val="64"/>
        </w:numPr>
      </w:pPr>
      <w:r>
        <w:t xml:space="preserve">studies involving new surgical procedures </w:t>
      </w:r>
    </w:p>
    <w:p w:rsidR="00A061F4" w:rsidRDefault="00A061F4" w:rsidP="00A061F4">
      <w:pPr>
        <w:pStyle w:val="ListParagraph"/>
        <w:numPr>
          <w:ilvl w:val="0"/>
          <w:numId w:val="64"/>
        </w:numPr>
      </w:pPr>
      <w:r>
        <w:t>trials of probiotic use in serious illness</w:t>
      </w:r>
    </w:p>
    <w:p w:rsidR="00D103B8" w:rsidRDefault="00D103B8" w:rsidP="00D103B8">
      <w:pPr>
        <w:pStyle w:val="ListParagraph"/>
        <w:numPr>
          <w:ilvl w:val="0"/>
          <w:numId w:val="64"/>
        </w:numPr>
      </w:pPr>
      <w:r>
        <w:t>qualitative research</w:t>
      </w:r>
    </w:p>
    <w:p w:rsidR="00D103B8" w:rsidRDefault="00D103B8" w:rsidP="00D103B8">
      <w:pPr>
        <w:pStyle w:val="ListParagraph"/>
        <w:numPr>
          <w:ilvl w:val="0"/>
          <w:numId w:val="64"/>
        </w:numPr>
      </w:pPr>
      <w:proofErr w:type="gramStart"/>
      <w:r>
        <w:t>studies</w:t>
      </w:r>
      <w:proofErr w:type="gramEnd"/>
      <w:r>
        <w:t xml:space="preserve"> involving large databases.</w:t>
      </w:r>
    </w:p>
    <w:p w:rsidR="003924C3" w:rsidRDefault="003924C3" w:rsidP="003924C3"/>
    <w:p w:rsidR="00A72A6B" w:rsidRDefault="00C62E98" w:rsidP="00C62E98">
      <w:pPr>
        <w:pStyle w:val="Quote"/>
      </w:pPr>
      <w:r>
        <w:t>“The category for the full review pathway is restrictive.  It appears that all observational studies will be considered under [the] expedited review pathway regardless of risk, while intervention studies without the use of medicines or medical devices will be excluded from full review (e.g. dietary or physical intervention).</w:t>
      </w:r>
    </w:p>
    <w:p w:rsidR="00A72A6B" w:rsidRDefault="00A72A6B" w:rsidP="003924C3"/>
    <w:p w:rsidR="002C6D50" w:rsidRDefault="002C6D50" w:rsidP="003924C3">
      <w:pPr>
        <w:rPr>
          <w:i/>
        </w:rPr>
      </w:pPr>
      <w:r>
        <w:t xml:space="preserve">Three submitters </w:t>
      </w:r>
      <w:r w:rsidR="00251F31">
        <w:t xml:space="preserve">specifically </w:t>
      </w:r>
      <w:r>
        <w:t xml:space="preserve">questioned the definition of “vulnerable”, taken from NEAC’s </w:t>
      </w:r>
      <w:r>
        <w:rPr>
          <w:i/>
        </w:rPr>
        <w:t>Ethical Guidelines for Intervention Studies.</w:t>
      </w:r>
    </w:p>
    <w:p w:rsidR="002C6D50" w:rsidRDefault="002C6D50" w:rsidP="003924C3">
      <w:pPr>
        <w:rPr>
          <w:i/>
        </w:rPr>
      </w:pPr>
    </w:p>
    <w:p w:rsidR="002C6D50" w:rsidRPr="002C6D50" w:rsidRDefault="002C6D50" w:rsidP="002C6D50">
      <w:pPr>
        <w:pStyle w:val="Quote"/>
        <w:rPr>
          <w:i w:val="0"/>
        </w:rPr>
      </w:pPr>
      <w:r>
        <w:t>“</w:t>
      </w:r>
      <w:r w:rsidRPr="001B3432">
        <w:t>In my view, the categories of vulnerable people are much wider than those stated in the ethical guidelines for intervention studies. For example, in the list of vulnerable people set out in the ethical guidelines for intervention studies there is no recognition that people who have formerly suffered a mental illness may remain vulnerable in some circumstances. People involved in research may be vulnerable because of the nature of the research and their lack of understanding of what is occurring</w:t>
      </w:r>
      <w:r>
        <w:t>.”</w:t>
      </w:r>
    </w:p>
    <w:p w:rsidR="002C6D50" w:rsidRDefault="002C6D50" w:rsidP="003924C3"/>
    <w:p w:rsidR="00D103B8" w:rsidRDefault="00D103B8" w:rsidP="003924C3">
      <w:r>
        <w:t xml:space="preserve">Other respondents felt that the proposed scope of the </w:t>
      </w:r>
      <w:r w:rsidR="002C6D50">
        <w:t>full review pathway was not clearly based on risk, or was unclear.  Specific suggestions for areas requiring clarification included the definitions of “new medicine” and “standard treatment”.</w:t>
      </w:r>
    </w:p>
    <w:p w:rsidR="00D103B8" w:rsidRDefault="00D103B8" w:rsidP="003924C3"/>
    <w:p w:rsidR="003924C3" w:rsidRDefault="00D103B8" w:rsidP="003924C3">
      <w:r>
        <w:rPr>
          <w:b/>
        </w:rPr>
        <w:t>Who decides?</w:t>
      </w:r>
      <w:r w:rsidR="003924C3" w:rsidRPr="003924C3">
        <w:rPr>
          <w:b/>
        </w:rPr>
        <w:t xml:space="preserve">  </w:t>
      </w:r>
      <w:r w:rsidRPr="00D103B8">
        <w:t>Two submitters</w:t>
      </w:r>
      <w:r>
        <w:t xml:space="preserve"> suggested that the draft SOPs could be clearer as to who decides whether an application meets the criteria for full review, and whether the HDEC chairs could override such decisions.  Other s</w:t>
      </w:r>
      <w:r w:rsidR="003924C3">
        <w:t xml:space="preserve">ubmitters made a </w:t>
      </w:r>
      <w:r>
        <w:t>variety</w:t>
      </w:r>
      <w:r w:rsidR="003924C3">
        <w:t xml:space="preserve"> of suggestions as to who should decide whether a </w:t>
      </w:r>
      <w:r>
        <w:t xml:space="preserve">given </w:t>
      </w:r>
      <w:r w:rsidR="003924C3">
        <w:t>study requires full or expedited review</w:t>
      </w:r>
      <w:r>
        <w:t>, such as</w:t>
      </w:r>
      <w:r w:rsidR="003924C3">
        <w:t xml:space="preserve"> </w:t>
      </w:r>
      <w:r>
        <w:t>the HRCEC or an independent body.</w:t>
      </w:r>
      <w:r w:rsidR="008D7C60">
        <w:t xml:space="preserve">  Two submitters considered that it would be inappropriate for such decisions to be made by the HDEC secretariat.</w:t>
      </w:r>
    </w:p>
    <w:p w:rsidR="004131D0" w:rsidRDefault="004131D0" w:rsidP="003924C3"/>
    <w:p w:rsidR="004131D0" w:rsidRDefault="004131D0" w:rsidP="003924C3">
      <w:r>
        <w:t>Three submitters requested that the SOPs clarify how amendments to previously approved studies would be reviewed, and whether this would necessarily be done by the HDEC that had approved the original application.</w:t>
      </w:r>
    </w:p>
    <w:p w:rsidR="00C76B46" w:rsidRDefault="00C76B46" w:rsidP="00C76B46"/>
    <w:p w:rsidR="002C6D50" w:rsidRPr="002C6D50" w:rsidRDefault="002C6D50" w:rsidP="002C6D50">
      <w:bookmarkStart w:id="13" w:name="_Toc319588524"/>
      <w:r w:rsidRPr="002C6D50">
        <w:rPr>
          <w:b/>
        </w:rPr>
        <w:t>Review clock.</w:t>
      </w:r>
      <w:r>
        <w:rPr>
          <w:b/>
        </w:rPr>
        <w:t xml:space="preserve">  </w:t>
      </w:r>
      <w:r w:rsidR="00001532">
        <w:t>Three s</w:t>
      </w:r>
      <w:r>
        <w:t xml:space="preserve">ubmitters suggested </w:t>
      </w:r>
      <w:r w:rsidR="00251F31">
        <w:t xml:space="preserve">that the SOPs should provide </w:t>
      </w:r>
      <w:r>
        <w:t xml:space="preserve">greater clarity on when the 35-day review clock should start, </w:t>
      </w:r>
      <w:r w:rsidR="00001532">
        <w:t>that the review clock should not include weekends and holidays, and that the SOPs should more clearly emphasise that 35 days is the upper limit rather than the norm.</w:t>
      </w:r>
    </w:p>
    <w:bookmarkEnd w:id="13"/>
    <w:p w:rsidR="00674DB8" w:rsidRDefault="00674DB8" w:rsidP="00674DB8">
      <w:pPr>
        <w:pStyle w:val="ListParagraph"/>
      </w:pPr>
    </w:p>
    <w:p w:rsidR="00C76B46" w:rsidRDefault="00001532" w:rsidP="00001532">
      <w:proofErr w:type="gramStart"/>
      <w:r>
        <w:rPr>
          <w:b/>
        </w:rPr>
        <w:t>Agendas</w:t>
      </w:r>
      <w:r w:rsidR="004F59ED">
        <w:rPr>
          <w:b/>
        </w:rPr>
        <w:t xml:space="preserve"> and minutes</w:t>
      </w:r>
      <w:r>
        <w:rPr>
          <w:b/>
        </w:rPr>
        <w:t>.</w:t>
      </w:r>
      <w:proofErr w:type="gramEnd"/>
      <w:r>
        <w:rPr>
          <w:b/>
        </w:rPr>
        <w:t xml:space="preserve">  </w:t>
      </w:r>
      <w:r w:rsidR="00C76B46">
        <w:t xml:space="preserve">Seven respondents thought that the </w:t>
      </w:r>
      <w:r w:rsidR="00C76B46" w:rsidRPr="00E16D54">
        <w:t>discus</w:t>
      </w:r>
      <w:r w:rsidR="00C76B46">
        <w:t>sion timeframes for meetings were</w:t>
      </w:r>
      <w:r w:rsidR="00C76B46" w:rsidRPr="00E16D54">
        <w:t xml:space="preserve"> unrealistic</w:t>
      </w:r>
      <w:r w:rsidR="00CA4208">
        <w:t>ally short and restrictive</w:t>
      </w:r>
      <w:r w:rsidR="00C76B46">
        <w:t xml:space="preserve">, and </w:t>
      </w:r>
      <w:r>
        <w:t xml:space="preserve">could compromise decision quality.  </w:t>
      </w:r>
      <w:r w:rsidR="00C76B46">
        <w:t xml:space="preserve">Two respondents </w:t>
      </w:r>
      <w:r>
        <w:t>considered</w:t>
      </w:r>
      <w:r w:rsidR="00C76B46">
        <w:t xml:space="preserve"> that </w:t>
      </w:r>
      <w:r w:rsidR="00C76B46" w:rsidRPr="00E16D54">
        <w:t xml:space="preserve">electronic notification of </w:t>
      </w:r>
      <w:r w:rsidR="00C76B46">
        <w:t xml:space="preserve">information in the “noting” section of the agenda </w:t>
      </w:r>
      <w:r w:rsidR="00C76B46" w:rsidRPr="00E16D54">
        <w:t>should go to all signatories</w:t>
      </w:r>
      <w:r w:rsidR="00C76B46">
        <w:t>,</w:t>
      </w:r>
      <w:r w:rsidR="00C76B46" w:rsidRPr="00E16D54">
        <w:t xml:space="preserve"> including </w:t>
      </w:r>
      <w:r w:rsidR="00C76B46">
        <w:t xml:space="preserve">localities and </w:t>
      </w:r>
      <w:r w:rsidR="00C76B46" w:rsidRPr="00E16D54">
        <w:t>DHBs</w:t>
      </w:r>
      <w:r w:rsidR="00C76B46">
        <w:t>.</w:t>
      </w:r>
      <w:r>
        <w:t xml:space="preserve">  </w:t>
      </w:r>
      <w:r w:rsidR="00AA2592">
        <w:t>Other submitters were</w:t>
      </w:r>
      <w:r w:rsidR="00C76B46">
        <w:t xml:space="preserve"> concerned </w:t>
      </w:r>
      <w:r>
        <w:t>that</w:t>
      </w:r>
      <w:r w:rsidR="00C76B46">
        <w:t xml:space="preserve"> study protocols </w:t>
      </w:r>
      <w:r>
        <w:t xml:space="preserve">would be </w:t>
      </w:r>
      <w:r w:rsidR="00C76B46">
        <w:t>excluded from the documentation circulated to HDEC members with the agenda papers</w:t>
      </w:r>
      <w:r w:rsidR="00AA2592">
        <w:t>, and argued that all documents should be included</w:t>
      </w:r>
      <w:r w:rsidR="00C76B46">
        <w:t>.</w:t>
      </w:r>
    </w:p>
    <w:p w:rsidR="004F59ED" w:rsidRDefault="004F59ED" w:rsidP="00001532"/>
    <w:p w:rsidR="004F59ED" w:rsidRPr="00016D49" w:rsidRDefault="004F59ED" w:rsidP="004F59ED">
      <w:r>
        <w:t xml:space="preserve">Five respondents requested a </w:t>
      </w:r>
      <w:r w:rsidRPr="00E16D54">
        <w:t>timeline for publication of minutes</w:t>
      </w:r>
      <w:r>
        <w:t xml:space="preserve">, and notification of where </w:t>
      </w:r>
      <w:r w:rsidR="00AA2592">
        <w:t xml:space="preserve">and when </w:t>
      </w:r>
      <w:r>
        <w:t xml:space="preserve">meetings </w:t>
      </w:r>
      <w:r w:rsidR="00AA2592">
        <w:t xml:space="preserve">would </w:t>
      </w:r>
      <w:r>
        <w:t xml:space="preserve">be held. One respondent pointed out that </w:t>
      </w:r>
      <w:r w:rsidRPr="00016D49">
        <w:t xml:space="preserve">references to "minutes" </w:t>
      </w:r>
      <w:r>
        <w:t xml:space="preserve">in this section should read </w:t>
      </w:r>
      <w:r w:rsidRPr="00016D49">
        <w:t xml:space="preserve">"draft minutes" </w:t>
      </w:r>
      <w:r>
        <w:t>until they are confirmed by the committee.</w:t>
      </w:r>
    </w:p>
    <w:p w:rsidR="00001532" w:rsidRDefault="00001532" w:rsidP="00001532"/>
    <w:p w:rsidR="00C76B46" w:rsidRDefault="00001532" w:rsidP="00001532">
      <w:proofErr w:type="gramStart"/>
      <w:r>
        <w:rPr>
          <w:b/>
        </w:rPr>
        <w:t>Quorum.</w:t>
      </w:r>
      <w:proofErr w:type="gramEnd"/>
      <w:r>
        <w:t xml:space="preserve">  Six respondents commented on the draft SOPs’ requireme</w:t>
      </w:r>
      <w:r w:rsidR="00AA2592">
        <w:t>nts for quorum, suggesting that</w:t>
      </w:r>
      <w:r>
        <w:t xml:space="preserve"> members should be able to </w:t>
      </w:r>
      <w:r w:rsidR="00C76B46" w:rsidRPr="0026163D">
        <w:t xml:space="preserve">teleconference or videoconference </w:t>
      </w:r>
      <w:r>
        <w:t>rather than bei</w:t>
      </w:r>
      <w:r w:rsidR="00AA2592">
        <w:t>ng required to attend in person,</w:t>
      </w:r>
      <w:r>
        <w:t xml:space="preserve"> quorum should be </w:t>
      </w:r>
      <w:r>
        <w:rPr>
          <w:i/>
        </w:rPr>
        <w:t>six</w:t>
      </w:r>
      <w:r>
        <w:t xml:space="preserve"> members (rather </w:t>
      </w:r>
      <w:r w:rsidR="00AA2592">
        <w:t>than five) including one Māori member,</w:t>
      </w:r>
      <w:r>
        <w:t xml:space="preserve"> and </w:t>
      </w:r>
      <w:r w:rsidR="00C76B46" w:rsidRPr="0026163D">
        <w:t xml:space="preserve">co-opted members be </w:t>
      </w:r>
      <w:r w:rsidR="00AA2592">
        <w:t xml:space="preserve">from the </w:t>
      </w:r>
      <w:r w:rsidR="00C76B46" w:rsidRPr="0026163D">
        <w:t xml:space="preserve">same </w:t>
      </w:r>
      <w:r w:rsidR="00AA2592">
        <w:t xml:space="preserve">membership </w:t>
      </w:r>
      <w:r w:rsidR="00C76B46" w:rsidRPr="0026163D">
        <w:t>category as those they replace</w:t>
      </w:r>
      <w:r w:rsidR="00C76B46">
        <w:t xml:space="preserve">. </w:t>
      </w:r>
    </w:p>
    <w:p w:rsidR="00001532" w:rsidRDefault="00001532" w:rsidP="00001532"/>
    <w:p w:rsidR="00001532" w:rsidRPr="00001532" w:rsidRDefault="00001532" w:rsidP="00001532">
      <w:proofErr w:type="gramStart"/>
      <w:r>
        <w:rPr>
          <w:b/>
        </w:rPr>
        <w:t>Attendance of investigators</w:t>
      </w:r>
      <w:r w:rsidR="004F59ED">
        <w:rPr>
          <w:b/>
        </w:rPr>
        <w:t xml:space="preserve"> and sponsors</w:t>
      </w:r>
      <w:r>
        <w:rPr>
          <w:b/>
        </w:rPr>
        <w:t>.</w:t>
      </w:r>
      <w:proofErr w:type="gramEnd"/>
      <w:r>
        <w:t xml:space="preserve">  Three submitters thought that study </w:t>
      </w:r>
      <w:r w:rsidRPr="000707E8">
        <w:t xml:space="preserve">sponsors </w:t>
      </w:r>
      <w:r w:rsidR="00294D2E">
        <w:t>ought to</w:t>
      </w:r>
      <w:r w:rsidRPr="000707E8">
        <w:t xml:space="preserve"> be allowed to attend meetings</w:t>
      </w:r>
      <w:r>
        <w:t xml:space="preserve"> alongside investigators, in part because they </w:t>
      </w:r>
      <w:r w:rsidRPr="000707E8">
        <w:t xml:space="preserve">may be best-placed to answer </w:t>
      </w:r>
      <w:r>
        <w:t xml:space="preserve">the </w:t>
      </w:r>
      <w:r w:rsidRPr="000707E8">
        <w:t>committee's questions</w:t>
      </w:r>
      <w:r>
        <w:t>.</w:t>
      </w:r>
    </w:p>
    <w:p w:rsidR="00674DB8" w:rsidRDefault="00674DB8" w:rsidP="00001532">
      <w:pPr>
        <w:pStyle w:val="ListParagraph"/>
      </w:pPr>
    </w:p>
    <w:p w:rsidR="004F59ED" w:rsidRDefault="004F59ED" w:rsidP="004F59ED">
      <w:pPr>
        <w:pStyle w:val="Quote"/>
      </w:pPr>
      <w:r>
        <w:t>“[</w:t>
      </w:r>
      <w:r>
        <w:rPr>
          <w:sz w:val="18"/>
        </w:rPr>
        <w:t>Investigators]</w:t>
      </w:r>
      <w:r w:rsidRPr="00D44708">
        <w:t xml:space="preserve"> and sponsors often find that questions asked in the response letter from ethics are difficult to decipher.   This often results in the PI and sponsor not being about to answer the question adequately, as they never really understood what was being asked.  This issue could be rectified significantly if the sponsor’s representative was able to attend the meeting and listen to the discussion.</w:t>
      </w:r>
      <w:r>
        <w:t>”</w:t>
      </w:r>
    </w:p>
    <w:p w:rsidR="004F59ED" w:rsidRDefault="004F59ED" w:rsidP="004F59ED"/>
    <w:p w:rsidR="004F59ED" w:rsidRPr="0026163D" w:rsidRDefault="00294D2E" w:rsidP="004F59ED">
      <w:proofErr w:type="gramStart"/>
      <w:r>
        <w:rPr>
          <w:b/>
        </w:rPr>
        <w:t>Other.</w:t>
      </w:r>
      <w:proofErr w:type="gramEnd"/>
      <w:r>
        <w:rPr>
          <w:b/>
        </w:rPr>
        <w:t xml:space="preserve">  </w:t>
      </w:r>
      <w:r w:rsidR="004F59ED">
        <w:t xml:space="preserve">Other submitters suggested that HDECs </w:t>
      </w:r>
      <w:r>
        <w:t xml:space="preserve">ought to </w:t>
      </w:r>
      <w:r w:rsidR="004F59ED">
        <w:t xml:space="preserve">be able to require researchers to leave the </w:t>
      </w:r>
      <w:r>
        <w:t xml:space="preserve">meeting </w:t>
      </w:r>
      <w:r w:rsidR="004F59ED">
        <w:t xml:space="preserve">room during </w:t>
      </w:r>
      <w:r>
        <w:t xml:space="preserve">their </w:t>
      </w:r>
      <w:r w:rsidR="004F59ED">
        <w:t>discussions, that researchers be able to attend meetings by videoconference</w:t>
      </w:r>
      <w:r>
        <w:t xml:space="preserve"> </w:t>
      </w:r>
      <w:r w:rsidR="00194233">
        <w:t>(</w:t>
      </w:r>
      <w:r>
        <w:t xml:space="preserve">as well as </w:t>
      </w:r>
      <w:r w:rsidR="00194233">
        <w:t xml:space="preserve">by </w:t>
      </w:r>
      <w:r>
        <w:t>teleconference</w:t>
      </w:r>
      <w:r w:rsidR="00194233">
        <w:t>)</w:t>
      </w:r>
      <w:r w:rsidR="004F59ED">
        <w:t>, and that further guidance was required around observer attendance to ensure respect for intellectual property.</w:t>
      </w:r>
    </w:p>
    <w:p w:rsidR="00C76B46" w:rsidRDefault="00C76B46" w:rsidP="00C76B46"/>
    <w:p w:rsidR="00BF57B6" w:rsidRDefault="00BF57B6">
      <w:pPr>
        <w:spacing w:after="200" w:line="276" w:lineRule="auto"/>
        <w:rPr>
          <w:rFonts w:asciiTheme="majorHAnsi" w:eastAsiaTheme="majorEastAsia" w:hAnsiTheme="majorHAnsi" w:cstheme="majorBidi"/>
          <w:b/>
          <w:bCs/>
          <w:color w:val="365F91" w:themeColor="accent1" w:themeShade="BF"/>
          <w:sz w:val="28"/>
          <w:szCs w:val="26"/>
        </w:rPr>
      </w:pPr>
      <w:bookmarkStart w:id="14" w:name="_Toc319588531"/>
      <w:r>
        <w:br w:type="page"/>
      </w:r>
    </w:p>
    <w:p w:rsidR="00B67ED8" w:rsidRDefault="00B67ED8" w:rsidP="00B67ED8">
      <w:pPr>
        <w:pStyle w:val="Heading2"/>
      </w:pPr>
      <w:bookmarkStart w:id="15" w:name="_Toc324258577"/>
      <w:r>
        <w:t>Section 6: The expedited review pathway</w:t>
      </w:r>
      <w:bookmarkEnd w:id="14"/>
      <w:bookmarkEnd w:id="15"/>
    </w:p>
    <w:p w:rsidR="008D7C60" w:rsidRDefault="008D7C60" w:rsidP="00B67ED8"/>
    <w:p w:rsidR="008D7C60" w:rsidRDefault="008D7C60" w:rsidP="00B67ED8">
      <w:r>
        <w:rPr>
          <w:noProof/>
          <w:lang w:eastAsia="en-NZ"/>
        </w:rPr>
        <w:drawing>
          <wp:inline distT="0" distB="0" distL="0" distR="0" wp14:anchorId="46839FE9" wp14:editId="429A8AEE">
            <wp:extent cx="5727700" cy="1524000"/>
            <wp:effectExtent l="0" t="0" r="25400"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C60" w:rsidRDefault="008D7C60" w:rsidP="00B67ED8"/>
    <w:p w:rsidR="00B67ED8" w:rsidRDefault="00B67ED8" w:rsidP="00B67ED8">
      <w:r>
        <w:t>Twenty</w:t>
      </w:r>
      <w:r w:rsidR="008D7C60">
        <w:t>-one</w:t>
      </w:r>
      <w:r>
        <w:t xml:space="preserve"> respondents </w:t>
      </w:r>
      <w:r w:rsidR="008D7C60">
        <w:t>commented on this section of the draft SOPs</w:t>
      </w:r>
      <w:r>
        <w:t xml:space="preserve">.  </w:t>
      </w:r>
      <w:r w:rsidR="00A72A6B">
        <w:t xml:space="preserve">Many comments were </w:t>
      </w:r>
      <w:r w:rsidR="008D7C60">
        <w:t xml:space="preserve">similar to those received on the previous section (“The full review pathway”), </w:t>
      </w:r>
      <w:r w:rsidR="00A72A6B">
        <w:t>including</w:t>
      </w:r>
      <w:r w:rsidR="00294D2E">
        <w:t xml:space="preserve"> </w:t>
      </w:r>
      <w:r w:rsidR="00C44CB5">
        <w:t>the need to clarify</w:t>
      </w:r>
      <w:r w:rsidR="008D7C60">
        <w:t>:</w:t>
      </w:r>
    </w:p>
    <w:p w:rsidR="008D7C60" w:rsidRDefault="008D7C60" w:rsidP="00B67ED8"/>
    <w:p w:rsidR="00A72A6B" w:rsidRDefault="00C44CB5" w:rsidP="008D7C60">
      <w:pPr>
        <w:pStyle w:val="ListParagraph"/>
        <w:numPr>
          <w:ilvl w:val="0"/>
          <w:numId w:val="64"/>
        </w:numPr>
      </w:pPr>
      <w:r>
        <w:t>the</w:t>
      </w:r>
      <w:r w:rsidR="00A72A6B">
        <w:t xml:space="preserve"> scope of the expedited review</w:t>
      </w:r>
      <w:r>
        <w:t xml:space="preserve"> pathway, and base</w:t>
      </w:r>
      <w:r w:rsidR="00A72A6B">
        <w:t xml:space="preserve"> it clearly on risk</w:t>
      </w:r>
    </w:p>
    <w:p w:rsidR="008D7C60" w:rsidRDefault="008D7C60" w:rsidP="008D7C60">
      <w:pPr>
        <w:pStyle w:val="ListParagraph"/>
        <w:numPr>
          <w:ilvl w:val="0"/>
          <w:numId w:val="64"/>
        </w:numPr>
      </w:pPr>
      <w:r>
        <w:t>who would decide the review pathway appropriate to a given study</w:t>
      </w:r>
    </w:p>
    <w:p w:rsidR="008D7C60" w:rsidRDefault="00C44CB5" w:rsidP="008D7C60">
      <w:pPr>
        <w:pStyle w:val="ListParagraph"/>
        <w:numPr>
          <w:ilvl w:val="0"/>
          <w:numId w:val="64"/>
        </w:numPr>
      </w:pPr>
      <w:proofErr w:type="gramStart"/>
      <w:r>
        <w:t>that</w:t>
      </w:r>
      <w:proofErr w:type="gramEnd"/>
      <w:r>
        <w:t xml:space="preserve"> </w:t>
      </w:r>
      <w:r w:rsidR="008D7C60">
        <w:t xml:space="preserve">holidays and weekends </w:t>
      </w:r>
      <w:r>
        <w:t xml:space="preserve">did not count for the purposes of </w:t>
      </w:r>
      <w:r w:rsidR="008D7C60">
        <w:t>the 15-day timeline</w:t>
      </w:r>
      <w:r>
        <w:t xml:space="preserve"> for expedited</w:t>
      </w:r>
      <w:r w:rsidR="00A72A6B">
        <w:t xml:space="preserve"> review.</w:t>
      </w:r>
    </w:p>
    <w:p w:rsidR="00A72A6B" w:rsidRDefault="00A72A6B" w:rsidP="00A72A6B"/>
    <w:p w:rsidR="00A72A6B" w:rsidRDefault="004131D0" w:rsidP="00A72A6B">
      <w:r>
        <w:t>Other submitters</w:t>
      </w:r>
      <w:r w:rsidR="00A72A6B">
        <w:t xml:space="preserve"> asked that the SOPs specifically note that studies involving medical devices other than class III and active implantable medical devices would come within the scope of the expedited review pathway.</w:t>
      </w:r>
    </w:p>
    <w:p w:rsidR="00A72A6B" w:rsidRDefault="00A72A6B" w:rsidP="00A72A6B"/>
    <w:p w:rsidR="00A72A6B" w:rsidRDefault="00A72A6B" w:rsidP="00A72A6B">
      <w:r>
        <w:t xml:space="preserve">Four respondents suggested </w:t>
      </w:r>
      <w:r w:rsidR="00FD709A">
        <w:t xml:space="preserve">that </w:t>
      </w:r>
      <w:r>
        <w:t xml:space="preserve">applications for </w:t>
      </w:r>
      <w:r w:rsidRPr="00BD503A">
        <w:t xml:space="preserve">expedited review </w:t>
      </w:r>
      <w:r w:rsidR="00C44CB5">
        <w:t>ought to</w:t>
      </w:r>
      <w:r>
        <w:t xml:space="preserve"> be able </w:t>
      </w:r>
      <w:r w:rsidRPr="00BD503A">
        <w:t xml:space="preserve">to be reassigned to </w:t>
      </w:r>
      <w:r>
        <w:t xml:space="preserve">the </w:t>
      </w:r>
      <w:r w:rsidRPr="00BD503A">
        <w:t xml:space="preserve">full review </w:t>
      </w:r>
      <w:r>
        <w:t>pa</w:t>
      </w:r>
      <w:r w:rsidR="00FD709A">
        <w:t>thway in certain circumstances, such as when</w:t>
      </w:r>
      <w:r>
        <w:t xml:space="preserve"> </w:t>
      </w:r>
      <w:r w:rsidR="00FD709A">
        <w:t xml:space="preserve">sub-committee members </w:t>
      </w:r>
      <w:r w:rsidR="00C44CB5">
        <w:t>could not come to a unanimous decision on them</w:t>
      </w:r>
      <w:r w:rsidR="00FD709A">
        <w:t>.</w:t>
      </w:r>
    </w:p>
    <w:p w:rsidR="00A72A6B" w:rsidRDefault="00A72A6B" w:rsidP="00A72A6B"/>
    <w:p w:rsidR="00B67ED8" w:rsidRPr="00A72A6B" w:rsidRDefault="00A72A6B" w:rsidP="00A72A6B">
      <w:proofErr w:type="gramStart"/>
      <w:r>
        <w:rPr>
          <w:b/>
        </w:rPr>
        <w:t>Role of the Chair.</w:t>
      </w:r>
      <w:proofErr w:type="gramEnd"/>
      <w:r>
        <w:rPr>
          <w:b/>
        </w:rPr>
        <w:t xml:space="preserve">  </w:t>
      </w:r>
      <w:r w:rsidR="00EF7D99">
        <w:t>Ten respondents</w:t>
      </w:r>
      <w:r w:rsidR="00B67ED8">
        <w:t xml:space="preserve"> </w:t>
      </w:r>
      <w:r w:rsidR="00FD709A">
        <w:t>expressed concern</w:t>
      </w:r>
      <w:r>
        <w:t xml:space="preserve"> with the draft SOPs’ proposal that</w:t>
      </w:r>
      <w:r w:rsidR="00B67ED8" w:rsidRPr="00BD503A">
        <w:t xml:space="preserve"> </w:t>
      </w:r>
      <w:r w:rsidR="00B67ED8">
        <w:t xml:space="preserve">the </w:t>
      </w:r>
      <w:r w:rsidR="00B67ED8" w:rsidRPr="00BD503A">
        <w:t xml:space="preserve">chair </w:t>
      </w:r>
      <w:r w:rsidR="00FD709A">
        <w:t>act as</w:t>
      </w:r>
      <w:r>
        <w:t xml:space="preserve"> the final decision-maker in the expedited review pathway</w:t>
      </w:r>
      <w:r w:rsidR="00B67ED8">
        <w:t>, with</w:t>
      </w:r>
      <w:r w:rsidR="00B67ED8" w:rsidRPr="00BD503A">
        <w:t xml:space="preserve"> </w:t>
      </w:r>
      <w:r>
        <w:t>o</w:t>
      </w:r>
      <w:r w:rsidR="00B67ED8">
        <w:t>the</w:t>
      </w:r>
      <w:r>
        <w:t>r</w:t>
      </w:r>
      <w:r w:rsidR="00B67ED8">
        <w:t xml:space="preserve"> </w:t>
      </w:r>
      <w:r w:rsidR="00B67ED8" w:rsidRPr="00BD503A">
        <w:t>sub-com</w:t>
      </w:r>
      <w:r w:rsidR="00B67ED8">
        <w:t>mittee</w:t>
      </w:r>
      <w:r w:rsidR="00B67ED8" w:rsidRPr="00BD503A">
        <w:t xml:space="preserve"> members</w:t>
      </w:r>
      <w:r w:rsidR="00217675">
        <w:t xml:space="preserve"> (if any)</w:t>
      </w:r>
      <w:r w:rsidR="00B67ED8" w:rsidRPr="00BD503A">
        <w:t xml:space="preserve"> </w:t>
      </w:r>
      <w:r w:rsidR="00FD709A">
        <w:t>taking an advisory role</w:t>
      </w:r>
      <w:r w:rsidR="00B67ED8">
        <w:t xml:space="preserve">.  </w:t>
      </w:r>
      <w:r>
        <w:t>These respondents</w:t>
      </w:r>
      <w:r w:rsidR="00B67ED8">
        <w:t xml:space="preserve"> </w:t>
      </w:r>
      <w:r w:rsidR="00FD709A">
        <w:t>considered that this process c</w:t>
      </w:r>
      <w:r>
        <w:t>ould provide</w:t>
      </w:r>
      <w:r w:rsidR="00B67ED8">
        <w:t xml:space="preserve"> </w:t>
      </w:r>
      <w:r w:rsidR="00B67ED8" w:rsidRPr="00BD503A">
        <w:t>insufficient safeguard</w:t>
      </w:r>
      <w:r w:rsidR="00FD709A">
        <w:t>s</w:t>
      </w:r>
      <w:r>
        <w:t xml:space="preserve"> for </w:t>
      </w:r>
      <w:r w:rsidR="00FD709A">
        <w:t xml:space="preserve">research </w:t>
      </w:r>
      <w:r>
        <w:t xml:space="preserve">participants, </w:t>
      </w:r>
      <w:r w:rsidR="00B67ED8" w:rsidRPr="00481F29">
        <w:t>undermine</w:t>
      </w:r>
      <w:r>
        <w:t xml:space="preserve"> </w:t>
      </w:r>
      <w:r w:rsidR="00B67ED8" w:rsidRPr="00481F29">
        <w:t>robust ethical review process</w:t>
      </w:r>
      <w:r w:rsidR="00B67ED8">
        <w:t xml:space="preserve">, </w:t>
      </w:r>
      <w:r w:rsidR="00FD709A">
        <w:t xml:space="preserve">overburden the Chair, </w:t>
      </w:r>
      <w:r w:rsidR="00B67ED8">
        <w:t xml:space="preserve">and </w:t>
      </w:r>
      <w:r>
        <w:t>be inconsistent with consensus decision-making expectations</w:t>
      </w:r>
      <w:r w:rsidR="00B67ED8">
        <w:t xml:space="preserve">.  </w:t>
      </w:r>
      <w:r>
        <w:t xml:space="preserve">Two respondents thought </w:t>
      </w:r>
      <w:r w:rsidRPr="00BD503A">
        <w:t>that sub</w:t>
      </w:r>
      <w:r>
        <w:t>-</w:t>
      </w:r>
      <w:r w:rsidRPr="00BD503A">
        <w:t>com</w:t>
      </w:r>
      <w:r>
        <w:t>mittee</w:t>
      </w:r>
      <w:r w:rsidRPr="00BD503A">
        <w:t xml:space="preserve"> review </w:t>
      </w:r>
      <w:r w:rsidR="00217675">
        <w:t xml:space="preserve">of some or all items of business </w:t>
      </w:r>
      <w:r>
        <w:t xml:space="preserve">should </w:t>
      </w:r>
      <w:r w:rsidRPr="00BD503A">
        <w:t xml:space="preserve">require </w:t>
      </w:r>
      <w:r>
        <w:t>the involvement</w:t>
      </w:r>
      <w:r w:rsidRPr="00BD503A">
        <w:t xml:space="preserve"> and agreement of at least one member besides </w:t>
      </w:r>
      <w:r>
        <w:t xml:space="preserve">the </w:t>
      </w:r>
      <w:r w:rsidRPr="00BD503A">
        <w:t>chair</w:t>
      </w:r>
      <w:r>
        <w:t xml:space="preserve">. </w:t>
      </w:r>
    </w:p>
    <w:p w:rsidR="00B67ED8" w:rsidRDefault="00B67ED8" w:rsidP="00B67ED8"/>
    <w:p w:rsidR="00B67ED8" w:rsidRDefault="00EF7D99" w:rsidP="00094713">
      <w:pPr>
        <w:ind w:left="720"/>
        <w:rPr>
          <w:rFonts w:eastAsia="Times New Roman" w:cs="Arial"/>
          <w:i/>
          <w:color w:val="000000"/>
          <w:sz w:val="20"/>
          <w:szCs w:val="20"/>
          <w:lang w:val="en-GB" w:eastAsia="en-NZ"/>
        </w:rPr>
      </w:pPr>
      <w:r>
        <w:rPr>
          <w:rFonts w:eastAsia="Times New Roman" w:cs="Arial"/>
          <w:i/>
          <w:color w:val="000000"/>
          <w:sz w:val="20"/>
          <w:szCs w:val="20"/>
          <w:lang w:val="en-GB" w:eastAsia="en-NZ"/>
        </w:rPr>
        <w:t>“</w:t>
      </w:r>
      <w:r w:rsidR="00B67ED8" w:rsidRPr="00EA37AE">
        <w:rPr>
          <w:rFonts w:eastAsia="Times New Roman" w:cs="Arial"/>
          <w:i/>
          <w:color w:val="000000"/>
          <w:sz w:val="20"/>
          <w:szCs w:val="20"/>
          <w:lang w:val="en-GB" w:eastAsia="en-NZ"/>
        </w:rPr>
        <w:t>We consider that the Chair is overly empowered in his/her decision making under these provisions and urge stronger rules around  the requirement to consult with and be guided by a subcommittee of ethics committee members.</w:t>
      </w:r>
      <w:r>
        <w:rPr>
          <w:rFonts w:eastAsia="Times New Roman" w:cs="Arial"/>
          <w:i/>
          <w:color w:val="000000"/>
          <w:sz w:val="20"/>
          <w:szCs w:val="20"/>
          <w:lang w:val="en-GB" w:eastAsia="en-NZ"/>
        </w:rPr>
        <w:t>”</w:t>
      </w:r>
      <w:r w:rsidR="00B67ED8" w:rsidRPr="00EA37AE">
        <w:rPr>
          <w:rFonts w:eastAsia="Times New Roman" w:cs="Arial"/>
          <w:i/>
          <w:color w:val="000000"/>
          <w:sz w:val="20"/>
          <w:szCs w:val="20"/>
          <w:lang w:val="en-GB" w:eastAsia="en-NZ"/>
        </w:rPr>
        <w:t xml:space="preserve">  </w:t>
      </w:r>
    </w:p>
    <w:p w:rsidR="00B67ED8" w:rsidRDefault="00B67ED8" w:rsidP="00094713">
      <w:pPr>
        <w:ind w:left="720"/>
      </w:pPr>
    </w:p>
    <w:p w:rsidR="00B67ED8" w:rsidRDefault="00EF7D99" w:rsidP="00094713">
      <w:pPr>
        <w:ind w:left="720"/>
        <w:rPr>
          <w:rFonts w:eastAsia="Times New Roman" w:cs="Arial"/>
          <w:i/>
          <w:color w:val="000000"/>
          <w:sz w:val="20"/>
          <w:szCs w:val="20"/>
          <w:lang w:val="en-GB" w:eastAsia="en-NZ"/>
        </w:rPr>
      </w:pPr>
      <w:r>
        <w:rPr>
          <w:rFonts w:eastAsia="Times New Roman" w:cs="Arial"/>
          <w:i/>
          <w:color w:val="000000"/>
          <w:sz w:val="20"/>
          <w:szCs w:val="20"/>
          <w:lang w:val="en-GB" w:eastAsia="en-NZ"/>
        </w:rPr>
        <w:t>“</w:t>
      </w:r>
      <w:r w:rsidR="00B67ED8" w:rsidRPr="009E3A43">
        <w:rPr>
          <w:rFonts w:eastAsia="Times New Roman" w:cs="Arial"/>
          <w:i/>
          <w:color w:val="000000"/>
          <w:sz w:val="20"/>
          <w:szCs w:val="20"/>
          <w:lang w:val="en-GB" w:eastAsia="en-NZ"/>
        </w:rPr>
        <w:t>Review by a single person should not be considered an adequate safeguard for the public, and gives the appearance of considering speed of processing to be more important than participant safety.  We recommend that the guidelines be revised to require review of all applications by at least two people.</w:t>
      </w:r>
      <w:r>
        <w:rPr>
          <w:rFonts w:eastAsia="Times New Roman" w:cs="Arial"/>
          <w:i/>
          <w:color w:val="000000"/>
          <w:sz w:val="20"/>
          <w:szCs w:val="20"/>
          <w:lang w:val="en-GB" w:eastAsia="en-NZ"/>
        </w:rPr>
        <w:t>”</w:t>
      </w:r>
      <w:r w:rsidR="00B67ED8">
        <w:rPr>
          <w:rFonts w:eastAsia="Times New Roman" w:cs="Arial"/>
          <w:i/>
          <w:color w:val="000000"/>
          <w:sz w:val="20"/>
          <w:szCs w:val="20"/>
          <w:lang w:val="en-GB" w:eastAsia="en-NZ"/>
        </w:rPr>
        <w:t xml:space="preserve"> </w:t>
      </w:r>
    </w:p>
    <w:p w:rsidR="00B67ED8" w:rsidRDefault="00B67ED8" w:rsidP="00B67ED8"/>
    <w:p w:rsidR="00B67ED8" w:rsidRDefault="00B67ED8" w:rsidP="00A72A6B">
      <w:r>
        <w:t xml:space="preserve">One </w:t>
      </w:r>
      <w:r w:rsidR="00A72A6B">
        <w:t>respondent</w:t>
      </w:r>
      <w:r>
        <w:t xml:space="preserve"> thought that the ability of the chair to replace him or herself with any other member of the HDEC </w:t>
      </w:r>
      <w:r w:rsidR="00A72A6B">
        <w:t>would violate</w:t>
      </w:r>
      <w:r>
        <w:t xml:space="preserve"> the principles of </w:t>
      </w:r>
      <w:r w:rsidRPr="00BD503A">
        <w:t>natural justice</w:t>
      </w:r>
      <w:r>
        <w:t xml:space="preserve">.  </w:t>
      </w:r>
    </w:p>
    <w:p w:rsidR="00A72A6B" w:rsidRDefault="00A72A6B" w:rsidP="00A72A6B"/>
    <w:p w:rsidR="00B67ED8" w:rsidRPr="00BD503A" w:rsidRDefault="00217675" w:rsidP="00217675">
      <w:proofErr w:type="gramStart"/>
      <w:r>
        <w:rPr>
          <w:b/>
        </w:rPr>
        <w:t>Process and documentation</w:t>
      </w:r>
      <w:r w:rsidR="00A72A6B">
        <w:rPr>
          <w:b/>
        </w:rPr>
        <w:t>.</w:t>
      </w:r>
      <w:proofErr w:type="gramEnd"/>
      <w:r w:rsidR="00A72A6B">
        <w:t xml:space="preserve">  </w:t>
      </w:r>
      <w:r w:rsidR="00B67ED8">
        <w:t xml:space="preserve">Five respondents requested </w:t>
      </w:r>
      <w:r>
        <w:t>that the SOPs clarify</w:t>
      </w:r>
      <w:r w:rsidR="00B67ED8">
        <w:t xml:space="preserve"> what </w:t>
      </w:r>
      <w:r w:rsidR="00B67ED8" w:rsidRPr="001D0ED1">
        <w:t>documentation occurs around sub-com</w:t>
      </w:r>
      <w:r w:rsidR="00B67ED8">
        <w:t>mittee</w:t>
      </w:r>
      <w:r w:rsidR="00B67ED8" w:rsidRPr="001D0ED1">
        <w:t xml:space="preserve"> meetings and decisions</w:t>
      </w:r>
      <w:r w:rsidR="00B67ED8">
        <w:t xml:space="preserve">, including </w:t>
      </w:r>
      <w:r w:rsidR="00B67ED8" w:rsidRPr="001D0ED1">
        <w:t>recording</w:t>
      </w:r>
      <w:r w:rsidR="00B67ED8">
        <w:t xml:space="preserve"> of outcomes in minutes, </w:t>
      </w:r>
      <w:r w:rsidR="00B67ED8" w:rsidRPr="001D0ED1">
        <w:t>and issuance</w:t>
      </w:r>
      <w:r w:rsidR="00B67ED8">
        <w:t xml:space="preserve"> of decision </w:t>
      </w:r>
      <w:r w:rsidR="00B67ED8" w:rsidRPr="001D0ED1">
        <w:t>letters</w:t>
      </w:r>
      <w:r w:rsidR="00B67ED8">
        <w:t xml:space="preserve">, noting that </w:t>
      </w:r>
      <w:r w:rsidR="00B67ED8" w:rsidRPr="001D0ED1">
        <w:t xml:space="preserve">applicants will need notification in writing of </w:t>
      </w:r>
      <w:r w:rsidR="00B67ED8">
        <w:t xml:space="preserve">the </w:t>
      </w:r>
      <w:r w:rsidR="00B67ED8" w:rsidRPr="001D0ED1">
        <w:t>review outc</w:t>
      </w:r>
      <w:r w:rsidR="00B67ED8">
        <w:t>ome.</w:t>
      </w:r>
      <w:r>
        <w:t xml:space="preserve">  </w:t>
      </w:r>
      <w:r w:rsidR="00B67ED8">
        <w:t xml:space="preserve">Two respondents </w:t>
      </w:r>
      <w:r>
        <w:t>considered that decisions taken in the expedited review pathway should be required to be ratified</w:t>
      </w:r>
      <w:r w:rsidR="00B67ED8">
        <w:t xml:space="preserve"> by the full committee.</w:t>
      </w:r>
    </w:p>
    <w:p w:rsidR="00577AC9" w:rsidRDefault="00577AC9" w:rsidP="00B71650"/>
    <w:p w:rsidR="00217675" w:rsidRDefault="00F74BA8" w:rsidP="00217675">
      <w:pPr>
        <w:pStyle w:val="Heading2"/>
      </w:pPr>
      <w:bookmarkStart w:id="16" w:name="_Toc319588537"/>
      <w:bookmarkStart w:id="17" w:name="_Toc324258578"/>
      <w:r>
        <w:t>Section 7: Decisions open to HDECs</w:t>
      </w:r>
      <w:bookmarkEnd w:id="16"/>
      <w:bookmarkEnd w:id="17"/>
    </w:p>
    <w:p w:rsidR="00C44CB5" w:rsidRDefault="00C44CB5" w:rsidP="00F74BA8"/>
    <w:p w:rsidR="00217675" w:rsidRDefault="00217675" w:rsidP="00F74BA8">
      <w:r>
        <w:rPr>
          <w:noProof/>
          <w:lang w:eastAsia="en-NZ"/>
        </w:rPr>
        <w:drawing>
          <wp:inline distT="0" distB="0" distL="0" distR="0" wp14:anchorId="3DD0ABC5" wp14:editId="095A8035">
            <wp:extent cx="5727700" cy="1524000"/>
            <wp:effectExtent l="0" t="0" r="2540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7675" w:rsidRDefault="00217675" w:rsidP="00F74BA8"/>
    <w:p w:rsidR="00F74BA8" w:rsidRDefault="00F74BA8" w:rsidP="00F74BA8">
      <w:r>
        <w:t xml:space="preserve">Nineteen respondents </w:t>
      </w:r>
      <w:r w:rsidR="00217675">
        <w:t>provided a variety of comments on this section of the draft SOPs</w:t>
      </w:r>
      <w:r>
        <w:t xml:space="preserve">.  </w:t>
      </w:r>
    </w:p>
    <w:p w:rsidR="00217675" w:rsidRDefault="00217675" w:rsidP="00F74BA8"/>
    <w:p w:rsidR="00217675" w:rsidRDefault="00217675" w:rsidP="00F74BA8">
      <w:proofErr w:type="gramStart"/>
      <w:r>
        <w:rPr>
          <w:b/>
        </w:rPr>
        <w:t xml:space="preserve">Approval </w:t>
      </w:r>
      <w:r w:rsidR="009E618C">
        <w:rPr>
          <w:b/>
        </w:rPr>
        <w:t xml:space="preserve">conditions and </w:t>
      </w:r>
      <w:r>
        <w:rPr>
          <w:b/>
        </w:rPr>
        <w:t>letters.</w:t>
      </w:r>
      <w:proofErr w:type="gramEnd"/>
      <w:r>
        <w:t xml:space="preserve">  </w:t>
      </w:r>
      <w:r w:rsidR="009E618C">
        <w:t>Submitters suggested</w:t>
      </w:r>
      <w:r w:rsidR="00D91472">
        <w:t xml:space="preserve"> a range of changes to the draft SOPs, including</w:t>
      </w:r>
      <w:r w:rsidR="009E618C">
        <w:t>:</w:t>
      </w:r>
    </w:p>
    <w:p w:rsidR="009E618C" w:rsidRDefault="009E618C" w:rsidP="00F74BA8"/>
    <w:p w:rsidR="009E618C" w:rsidRDefault="009E618C" w:rsidP="009E618C">
      <w:pPr>
        <w:pStyle w:val="ListParagraph"/>
        <w:numPr>
          <w:ilvl w:val="0"/>
          <w:numId w:val="64"/>
        </w:numPr>
      </w:pPr>
      <w:r>
        <w:t>a five-year limit for HDEC approval, with a new application required after that time</w:t>
      </w:r>
    </w:p>
    <w:p w:rsidR="009E618C" w:rsidRDefault="009E618C" w:rsidP="009E618C">
      <w:pPr>
        <w:pStyle w:val="ListParagraph"/>
        <w:numPr>
          <w:ilvl w:val="0"/>
          <w:numId w:val="64"/>
        </w:numPr>
      </w:pPr>
      <w:r>
        <w:t>greater clarity around how much time can elapse between approval and commencement</w:t>
      </w:r>
    </w:p>
    <w:p w:rsidR="009E618C" w:rsidRDefault="009E618C" w:rsidP="009E618C">
      <w:pPr>
        <w:pStyle w:val="ListParagraph"/>
        <w:numPr>
          <w:ilvl w:val="0"/>
          <w:numId w:val="64"/>
        </w:numPr>
      </w:pPr>
      <w:r>
        <w:t xml:space="preserve">requiring that intervention studies have </w:t>
      </w:r>
      <w:r>
        <w:rPr>
          <w:i/>
        </w:rPr>
        <w:t xml:space="preserve">applied for </w:t>
      </w:r>
      <w:r>
        <w:t>registration before they commences, rather that requiring them to be so registered</w:t>
      </w:r>
      <w:r w:rsidR="00D91472">
        <w:t xml:space="preserve"> before they commence</w:t>
      </w:r>
    </w:p>
    <w:p w:rsidR="009E618C" w:rsidRDefault="009E618C" w:rsidP="009E618C">
      <w:pPr>
        <w:pStyle w:val="ListParagraph"/>
        <w:numPr>
          <w:ilvl w:val="0"/>
          <w:numId w:val="64"/>
        </w:numPr>
      </w:pPr>
      <w:r>
        <w:t>replacing “</w:t>
      </w:r>
      <w:r w:rsidR="00D91472">
        <w:t>locality approval” with “local research governance processes” in approval letters, to ensure that localities do not give approval prima facie</w:t>
      </w:r>
    </w:p>
    <w:p w:rsidR="009E618C" w:rsidRDefault="009E618C" w:rsidP="009E618C">
      <w:pPr>
        <w:pStyle w:val="ListParagraph"/>
        <w:numPr>
          <w:ilvl w:val="0"/>
          <w:numId w:val="64"/>
        </w:numPr>
      </w:pPr>
      <w:r>
        <w:t>ensuring that localities be informed of any extension in a study’s duration</w:t>
      </w:r>
    </w:p>
    <w:p w:rsidR="00D91472" w:rsidRDefault="009E618C" w:rsidP="009E618C">
      <w:pPr>
        <w:pStyle w:val="ListParagraph"/>
        <w:numPr>
          <w:ilvl w:val="0"/>
          <w:numId w:val="64"/>
        </w:numPr>
      </w:pPr>
      <w:r>
        <w:t xml:space="preserve">giving HDECs four </w:t>
      </w:r>
      <w:r>
        <w:rPr>
          <w:i/>
        </w:rPr>
        <w:t>working</w:t>
      </w:r>
      <w:r>
        <w:t xml:space="preserve"> days to notify applicants of decisions</w:t>
      </w:r>
    </w:p>
    <w:p w:rsidR="009E618C" w:rsidRPr="00217675" w:rsidRDefault="00D91472" w:rsidP="009E618C">
      <w:pPr>
        <w:pStyle w:val="ListParagraph"/>
        <w:numPr>
          <w:ilvl w:val="0"/>
          <w:numId w:val="64"/>
        </w:numPr>
      </w:pPr>
      <w:proofErr w:type="gramStart"/>
      <w:r>
        <w:t>requiring</w:t>
      </w:r>
      <w:proofErr w:type="gramEnd"/>
      <w:r>
        <w:t xml:space="preserve"> HDECs to check that all conditions of approval (including registration and locality approval) have been satisfied before allowing the study to proceed</w:t>
      </w:r>
      <w:r w:rsidR="009E618C">
        <w:t>.</w:t>
      </w:r>
    </w:p>
    <w:p w:rsidR="00E42699" w:rsidRDefault="00E42699" w:rsidP="00F74BA8"/>
    <w:p w:rsidR="00F74BA8" w:rsidRDefault="00D91472" w:rsidP="00D91472">
      <w:proofErr w:type="gramStart"/>
      <w:r>
        <w:rPr>
          <w:b/>
        </w:rPr>
        <w:t>Declined letters.</w:t>
      </w:r>
      <w:proofErr w:type="gramEnd"/>
      <w:r>
        <w:t xml:space="preserve">  </w:t>
      </w:r>
      <w:r w:rsidR="00F74BA8">
        <w:t xml:space="preserve">One respondent queried whether </w:t>
      </w:r>
      <w:r w:rsidR="00F74BA8" w:rsidRPr="00481F29">
        <w:t xml:space="preserve">applications </w:t>
      </w:r>
      <w:r w:rsidR="00F74BA8">
        <w:t>that had been declined would go back to th</w:t>
      </w:r>
      <w:r>
        <w:t xml:space="preserve">e same committee if they were </w:t>
      </w:r>
      <w:r w:rsidR="00F74BA8">
        <w:t>submitted</w:t>
      </w:r>
      <w:r>
        <w:t xml:space="preserve"> a second time</w:t>
      </w:r>
      <w:r w:rsidR="00F74BA8">
        <w:t xml:space="preserve">, and whether they would retain the same </w:t>
      </w:r>
      <w:r>
        <w:t>ethics reference number</w:t>
      </w:r>
      <w:r w:rsidR="00F74BA8">
        <w:t xml:space="preserve">.  </w:t>
      </w:r>
    </w:p>
    <w:p w:rsidR="00094713" w:rsidRPr="00481F29" w:rsidRDefault="00094713" w:rsidP="00094713">
      <w:pPr>
        <w:pStyle w:val="ListParagraph"/>
      </w:pPr>
    </w:p>
    <w:p w:rsidR="00D91472" w:rsidRDefault="00D91472" w:rsidP="00D91472">
      <w:proofErr w:type="gramStart"/>
      <w:r w:rsidRPr="00D91472">
        <w:rPr>
          <w:b/>
        </w:rPr>
        <w:t>Provisional approval.</w:t>
      </w:r>
      <w:proofErr w:type="gramEnd"/>
      <w:r>
        <w:t xml:space="preserve">  Two respondents thought that HDECs </w:t>
      </w:r>
      <w:r w:rsidRPr="00481F29">
        <w:t xml:space="preserve">should not use </w:t>
      </w:r>
      <w:r>
        <w:t xml:space="preserve">the </w:t>
      </w:r>
      <w:r w:rsidRPr="00481F29">
        <w:t>"provisionally approved" category</w:t>
      </w:r>
      <w:r>
        <w:t xml:space="preserve"> at all, as this category was seen to be confusing and </w:t>
      </w:r>
      <w:r w:rsidRPr="00481F29">
        <w:t xml:space="preserve">changes required in provisionally approved cases are not </w:t>
      </w:r>
      <w:r>
        <w:t xml:space="preserve">monitored or checked </w:t>
      </w:r>
      <w:r w:rsidRPr="00481F29">
        <w:t>by</w:t>
      </w:r>
      <w:r>
        <w:t xml:space="preserve"> the</w:t>
      </w:r>
      <w:r w:rsidRPr="00481F29">
        <w:t xml:space="preserve"> HDEC</w:t>
      </w:r>
      <w:r>
        <w:t xml:space="preserve">.   </w:t>
      </w:r>
    </w:p>
    <w:p w:rsidR="00F74BA8" w:rsidRDefault="00F74BA8" w:rsidP="00F74BA8"/>
    <w:p w:rsidR="00F74BA8" w:rsidRDefault="00F74BA8" w:rsidP="00094713">
      <w:pPr>
        <w:ind w:left="720"/>
        <w:rPr>
          <w:rFonts w:eastAsia="Times New Roman" w:cs="Arial"/>
          <w:i/>
          <w:color w:val="000000"/>
          <w:sz w:val="20"/>
          <w:szCs w:val="20"/>
          <w:lang w:val="en-GB" w:eastAsia="en-NZ"/>
        </w:rPr>
      </w:pPr>
      <w:r>
        <w:rPr>
          <w:rFonts w:eastAsia="Times New Roman" w:cs="Arial"/>
          <w:i/>
          <w:color w:val="000000"/>
          <w:sz w:val="20"/>
          <w:szCs w:val="20"/>
          <w:lang w:val="en-GB" w:eastAsia="en-NZ"/>
        </w:rPr>
        <w:t xml:space="preserve">“[Provisional approval] </w:t>
      </w:r>
      <w:r w:rsidRPr="000A352E">
        <w:rPr>
          <w:rFonts w:eastAsia="Times New Roman" w:cs="Arial"/>
          <w:i/>
          <w:color w:val="000000"/>
          <w:sz w:val="20"/>
          <w:szCs w:val="20"/>
          <w:lang w:val="en-GB" w:eastAsia="en-NZ"/>
        </w:rPr>
        <w:t>is very confusing.  The researcher either has ethical approval or not.  P</w:t>
      </w:r>
      <w:r>
        <w:rPr>
          <w:rFonts w:eastAsia="Times New Roman" w:cs="Arial"/>
          <w:i/>
          <w:color w:val="000000"/>
          <w:sz w:val="20"/>
          <w:szCs w:val="20"/>
          <w:lang w:val="en-GB" w:eastAsia="en-NZ"/>
        </w:rPr>
        <w:t>rincipal investigators</w:t>
      </w:r>
      <w:r w:rsidRPr="000A352E">
        <w:rPr>
          <w:rFonts w:eastAsia="Times New Roman" w:cs="Arial"/>
          <w:i/>
          <w:color w:val="000000"/>
          <w:sz w:val="20"/>
          <w:szCs w:val="20"/>
          <w:lang w:val="en-GB" w:eastAsia="en-NZ"/>
        </w:rPr>
        <w:t xml:space="preserve"> often think that once they have provisional approval they can commence their study</w:t>
      </w:r>
      <w:r w:rsidR="00D91472">
        <w:rPr>
          <w:rFonts w:eastAsia="Times New Roman" w:cs="Arial"/>
          <w:i/>
          <w:color w:val="000000"/>
          <w:sz w:val="20"/>
          <w:szCs w:val="20"/>
          <w:lang w:val="en-GB" w:eastAsia="en-NZ"/>
        </w:rPr>
        <w:t>.</w:t>
      </w:r>
    </w:p>
    <w:p w:rsidR="00F74BA8" w:rsidRDefault="00F74BA8" w:rsidP="00F74BA8"/>
    <w:p w:rsidR="00D91472" w:rsidRDefault="00D91472" w:rsidP="00D91472">
      <w:r>
        <w:t>Other respondents</w:t>
      </w:r>
      <w:r w:rsidRPr="00D91472">
        <w:t xml:space="preserve"> </w:t>
      </w:r>
      <w:r>
        <w:t>considered that:</w:t>
      </w:r>
    </w:p>
    <w:p w:rsidR="00D91472" w:rsidRDefault="00D91472" w:rsidP="00D91472">
      <w:pPr>
        <w:pStyle w:val="ListParagraph"/>
        <w:numPr>
          <w:ilvl w:val="0"/>
          <w:numId w:val="64"/>
        </w:numPr>
      </w:pPr>
      <w:r>
        <w:t xml:space="preserve">the task of </w:t>
      </w:r>
      <w:r w:rsidRPr="00481F29">
        <w:t xml:space="preserve">checking a response to a request for further information and making </w:t>
      </w:r>
      <w:r>
        <w:t xml:space="preserve">a </w:t>
      </w:r>
      <w:r w:rsidRPr="00481F29">
        <w:t>final decision</w:t>
      </w:r>
      <w:r>
        <w:t xml:space="preserve"> should not be delegated to the HDEC secretariat by the HDEC</w:t>
      </w:r>
    </w:p>
    <w:p w:rsidR="00D91472" w:rsidRDefault="00D91472" w:rsidP="00D91472">
      <w:pPr>
        <w:pStyle w:val="ListParagraph"/>
        <w:numPr>
          <w:ilvl w:val="0"/>
          <w:numId w:val="64"/>
        </w:numPr>
      </w:pPr>
      <w:r>
        <w:t>researchers should be able to contact the HDEC itself (rather than the secretariat) with questions regarding unclear approval conditions</w:t>
      </w:r>
    </w:p>
    <w:p w:rsidR="00D91472" w:rsidRDefault="00D91472" w:rsidP="00D91472">
      <w:pPr>
        <w:pStyle w:val="ListParagraph"/>
        <w:numPr>
          <w:ilvl w:val="0"/>
          <w:numId w:val="64"/>
        </w:numPr>
      </w:pPr>
      <w:r>
        <w:t>HDECs should provisionally approve studies for which SCOTT approval and Māori consultation was pending</w:t>
      </w:r>
    </w:p>
    <w:p w:rsidR="00D91472" w:rsidRDefault="00D91472" w:rsidP="00D91472">
      <w:pPr>
        <w:pStyle w:val="ListParagraph"/>
        <w:numPr>
          <w:ilvl w:val="0"/>
          <w:numId w:val="64"/>
        </w:numPr>
      </w:pPr>
      <w:proofErr w:type="gramStart"/>
      <w:r>
        <w:t>clarification</w:t>
      </w:r>
      <w:proofErr w:type="gramEnd"/>
      <w:r>
        <w:t xml:space="preserve"> was required on the timeframe within which </w:t>
      </w:r>
      <w:r w:rsidRPr="00481F29">
        <w:t>HDEC</w:t>
      </w:r>
      <w:r>
        <w:t>s</w:t>
      </w:r>
      <w:r w:rsidRPr="00481F29">
        <w:t xml:space="preserve"> should notify </w:t>
      </w:r>
      <w:r>
        <w:t xml:space="preserve">applicants </w:t>
      </w:r>
      <w:r w:rsidRPr="00481F29">
        <w:t xml:space="preserve">that a response </w:t>
      </w:r>
      <w:r>
        <w:t>has been deemed incomplete.</w:t>
      </w:r>
    </w:p>
    <w:p w:rsidR="00F74BA8" w:rsidRDefault="00F74BA8" w:rsidP="00F74BA8"/>
    <w:p w:rsidR="00BF57B6" w:rsidRDefault="00BF57B6">
      <w:pPr>
        <w:spacing w:after="200" w:line="276" w:lineRule="auto"/>
        <w:rPr>
          <w:rFonts w:asciiTheme="majorHAnsi" w:eastAsiaTheme="majorEastAsia" w:hAnsiTheme="majorHAnsi" w:cstheme="majorBidi"/>
          <w:b/>
          <w:bCs/>
          <w:color w:val="365F91" w:themeColor="accent1" w:themeShade="BF"/>
          <w:sz w:val="28"/>
          <w:szCs w:val="26"/>
        </w:rPr>
      </w:pPr>
      <w:bookmarkStart w:id="18" w:name="_Toc319588542"/>
      <w:r>
        <w:br w:type="page"/>
      </w:r>
    </w:p>
    <w:p w:rsidR="00D25BB4" w:rsidRDefault="00D25BB4" w:rsidP="00D25BB4">
      <w:pPr>
        <w:pStyle w:val="Heading2"/>
      </w:pPr>
      <w:bookmarkStart w:id="19" w:name="_Toc324258579"/>
      <w:r>
        <w:t>Section 8: HDECs and the ACC Act</w:t>
      </w:r>
      <w:bookmarkEnd w:id="18"/>
      <w:bookmarkEnd w:id="19"/>
    </w:p>
    <w:p w:rsidR="00A0314B" w:rsidRDefault="00A0314B" w:rsidP="00D25BB4"/>
    <w:p w:rsidR="00D91472" w:rsidRDefault="00D91472" w:rsidP="00D25BB4">
      <w:r>
        <w:rPr>
          <w:noProof/>
          <w:lang w:eastAsia="en-NZ"/>
        </w:rPr>
        <w:drawing>
          <wp:inline distT="0" distB="0" distL="0" distR="0" wp14:anchorId="6FF52A59" wp14:editId="2B6681E8">
            <wp:extent cx="5727700" cy="1524000"/>
            <wp:effectExtent l="0" t="0" r="25400" b="1905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91472" w:rsidRDefault="00D91472" w:rsidP="00D25BB4"/>
    <w:p w:rsidR="00D25BB4" w:rsidRDefault="00D25BB4" w:rsidP="00D25BB4">
      <w:r>
        <w:t xml:space="preserve">Fourteen respondents </w:t>
      </w:r>
      <w:r w:rsidR="004D66C4">
        <w:t>commented on this section of the draft SOPs</w:t>
      </w:r>
      <w:r>
        <w:t>.</w:t>
      </w:r>
    </w:p>
    <w:p w:rsidR="00D25BB4" w:rsidRDefault="00D25BB4" w:rsidP="00D25BB4"/>
    <w:p w:rsidR="004D66C4" w:rsidRDefault="004D66C4" w:rsidP="004D66C4">
      <w:proofErr w:type="gramStart"/>
      <w:r>
        <w:rPr>
          <w:b/>
        </w:rPr>
        <w:t>Informed consent.</w:t>
      </w:r>
      <w:proofErr w:type="gramEnd"/>
      <w:r>
        <w:rPr>
          <w:b/>
        </w:rPr>
        <w:t xml:space="preserve">  </w:t>
      </w:r>
      <w:r>
        <w:t>Five submitters emphasised that participants in clinical trials must continue to be adequately informed of whether or not they will be able to access compensation for injury through ACC as part of the informed consent process.  It was suggested that an independent third party (such as the Office of the Health and Disability Commissioner) could check that this was the case.</w:t>
      </w:r>
    </w:p>
    <w:p w:rsidR="004D66C4" w:rsidRDefault="004D66C4" w:rsidP="004D66C4"/>
    <w:p w:rsidR="004D66C4" w:rsidRDefault="004D66C4" w:rsidP="004D66C4">
      <w:r>
        <w:t>Other</w:t>
      </w:r>
      <w:r w:rsidR="00D25BB4" w:rsidRPr="001620BB">
        <w:t xml:space="preserve"> respondents </w:t>
      </w:r>
      <w:r>
        <w:t xml:space="preserve">considered </w:t>
      </w:r>
      <w:r w:rsidR="00D25BB4" w:rsidRPr="001620BB">
        <w:t>that</w:t>
      </w:r>
      <w:r>
        <w:t>:</w:t>
      </w:r>
    </w:p>
    <w:p w:rsidR="004D66C4" w:rsidRDefault="004D66C4" w:rsidP="004D66C4"/>
    <w:p w:rsidR="004D66C4" w:rsidRDefault="00D25BB4" w:rsidP="004D66C4">
      <w:pPr>
        <w:pStyle w:val="ListParagraph"/>
        <w:numPr>
          <w:ilvl w:val="0"/>
          <w:numId w:val="64"/>
        </w:numPr>
      </w:pPr>
      <w:r w:rsidRPr="001620BB">
        <w:t>HDECs should not rely on spon</w:t>
      </w:r>
      <w:r w:rsidR="004D66C4">
        <w:t>sors, localities or investigators</w:t>
      </w:r>
      <w:r w:rsidRPr="001620BB">
        <w:t xml:space="preserve"> </w:t>
      </w:r>
      <w:r>
        <w:t xml:space="preserve">to </w:t>
      </w:r>
      <w:r w:rsidR="004D66C4">
        <w:t>en</w:t>
      </w:r>
      <w:r w:rsidRPr="001620BB">
        <w:t>sure that appropriate arrangements are in place</w:t>
      </w:r>
    </w:p>
    <w:p w:rsidR="00D25BB4" w:rsidRPr="001620BB" w:rsidRDefault="004D66C4" w:rsidP="004D66C4">
      <w:pPr>
        <w:pStyle w:val="ListParagraph"/>
        <w:numPr>
          <w:ilvl w:val="0"/>
          <w:numId w:val="64"/>
        </w:numPr>
      </w:pPr>
      <w:r>
        <w:t xml:space="preserve">the SOPs should contain </w:t>
      </w:r>
      <w:r w:rsidR="00D25BB4" w:rsidRPr="001620BB">
        <w:t>a cleare</w:t>
      </w:r>
      <w:r>
        <w:t>r definition of what might constitute</w:t>
      </w:r>
      <w:r w:rsidR="00D25BB4" w:rsidRPr="001620BB">
        <w:t xml:space="preserve"> “credible assurances from the sponsor and the PI”</w:t>
      </w:r>
      <w:r w:rsidR="00D25BB4">
        <w:t xml:space="preserve"> </w:t>
      </w:r>
    </w:p>
    <w:p w:rsidR="004D66C4" w:rsidRDefault="004D66C4" w:rsidP="004D66C4">
      <w:pPr>
        <w:pStyle w:val="ListParagraph"/>
        <w:numPr>
          <w:ilvl w:val="0"/>
          <w:numId w:val="64"/>
        </w:numPr>
      </w:pPr>
      <w:r>
        <w:t>the standard compensation offered by</w:t>
      </w:r>
      <w:r w:rsidR="00D25BB4" w:rsidRPr="001620BB">
        <w:t xml:space="preserve"> some sponsors might </w:t>
      </w:r>
      <w:r>
        <w:t>be in excess of that available under</w:t>
      </w:r>
      <w:r w:rsidR="00D25BB4" w:rsidRPr="001620BB">
        <w:t xml:space="preserve"> ACC</w:t>
      </w:r>
    </w:p>
    <w:p w:rsidR="00D25BB4" w:rsidRPr="001620BB" w:rsidRDefault="004D66C4" w:rsidP="004D66C4">
      <w:pPr>
        <w:pStyle w:val="ListParagraph"/>
        <w:numPr>
          <w:ilvl w:val="0"/>
          <w:numId w:val="64"/>
        </w:numPr>
      </w:pPr>
      <w:proofErr w:type="gramStart"/>
      <w:r>
        <w:t>protection</w:t>
      </w:r>
      <w:proofErr w:type="gramEnd"/>
      <w:r>
        <w:t xml:space="preserve"> would be required for participants in the event of the bankruptcy of parties to clinical trials</w:t>
      </w:r>
      <w:r w:rsidR="00D25BB4" w:rsidRPr="001620BB">
        <w:t xml:space="preserve">. </w:t>
      </w:r>
    </w:p>
    <w:p w:rsidR="00D25BB4" w:rsidRPr="001620BB" w:rsidRDefault="00D25BB4" w:rsidP="00D25BB4"/>
    <w:p w:rsidR="00836507" w:rsidRDefault="00836507" w:rsidP="00836507">
      <w:pPr>
        <w:pStyle w:val="Heading2"/>
      </w:pPr>
      <w:bookmarkStart w:id="20" w:name="_Toc319588543"/>
      <w:bookmarkStart w:id="21" w:name="_Toc324258580"/>
      <w:r>
        <w:t>Section 9: Challenging HDEC decisions</w:t>
      </w:r>
      <w:bookmarkEnd w:id="20"/>
      <w:bookmarkEnd w:id="21"/>
    </w:p>
    <w:p w:rsidR="004D66C4" w:rsidRDefault="004D66C4" w:rsidP="004D66C4"/>
    <w:p w:rsidR="004D66C4" w:rsidRPr="004D66C4" w:rsidRDefault="004D66C4" w:rsidP="004D66C4">
      <w:r>
        <w:rPr>
          <w:noProof/>
          <w:lang w:eastAsia="en-NZ"/>
        </w:rPr>
        <w:drawing>
          <wp:inline distT="0" distB="0" distL="0" distR="0" wp14:anchorId="16927893" wp14:editId="0C286A56">
            <wp:extent cx="5727700" cy="1524000"/>
            <wp:effectExtent l="0" t="0" r="25400"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66C4" w:rsidRDefault="004D66C4" w:rsidP="004D66C4"/>
    <w:p w:rsidR="00836507" w:rsidRDefault="00836507" w:rsidP="004D66C4">
      <w:r>
        <w:t xml:space="preserve">Nine respondents </w:t>
      </w:r>
      <w:r w:rsidR="004D66C4">
        <w:t>commented on this section of the draft SOPs</w:t>
      </w:r>
      <w:r>
        <w:t>.</w:t>
      </w:r>
    </w:p>
    <w:p w:rsidR="004D66C4" w:rsidRDefault="004D66C4" w:rsidP="004D66C4"/>
    <w:p w:rsidR="00836507" w:rsidRDefault="004D66C4" w:rsidP="004D66C4">
      <w:r>
        <w:rPr>
          <w:b/>
        </w:rPr>
        <w:t xml:space="preserve">Challenge by third parties.  </w:t>
      </w:r>
      <w:r w:rsidR="00836507">
        <w:t xml:space="preserve">Four respondents </w:t>
      </w:r>
      <w:r w:rsidR="002D780F">
        <w:t>considered</w:t>
      </w:r>
      <w:r w:rsidR="00836507">
        <w:t xml:space="preserve"> that </w:t>
      </w:r>
      <w:r>
        <w:t>third parties, such as members of the public and prospective participants,</w:t>
      </w:r>
      <w:r w:rsidR="00836507" w:rsidRPr="00B67147">
        <w:t xml:space="preserve"> should </w:t>
      </w:r>
      <w:r w:rsidR="002D780F">
        <w:t>have</w:t>
      </w:r>
      <w:r w:rsidR="00836507" w:rsidRPr="00B67147">
        <w:t xml:space="preserve"> </w:t>
      </w:r>
      <w:r w:rsidR="00836507">
        <w:t xml:space="preserve">the </w:t>
      </w:r>
      <w:r w:rsidR="002D780F">
        <w:t xml:space="preserve">same </w:t>
      </w:r>
      <w:r w:rsidR="00836507" w:rsidRPr="00B67147">
        <w:t>right</w:t>
      </w:r>
      <w:r w:rsidR="00011276">
        <w:t>s</w:t>
      </w:r>
      <w:r w:rsidR="00836507" w:rsidRPr="00B67147">
        <w:t xml:space="preserve"> </w:t>
      </w:r>
      <w:r w:rsidR="00011276">
        <w:t>as applicants</w:t>
      </w:r>
      <w:r w:rsidR="00011276" w:rsidRPr="00B67147">
        <w:t xml:space="preserve"> </w:t>
      </w:r>
      <w:r w:rsidR="00836507" w:rsidRPr="00B67147">
        <w:t xml:space="preserve">to </w:t>
      </w:r>
      <w:r w:rsidR="00011276">
        <w:t xml:space="preserve">formally </w:t>
      </w:r>
      <w:r w:rsidR="00836507" w:rsidRPr="00B67147">
        <w:t xml:space="preserve">challenge </w:t>
      </w:r>
      <w:r w:rsidR="002D780F">
        <w:t xml:space="preserve">HDEC </w:t>
      </w:r>
      <w:r w:rsidR="00836507" w:rsidRPr="00B67147">
        <w:t>d</w:t>
      </w:r>
      <w:r w:rsidR="00836507">
        <w:t>ecisions.</w:t>
      </w:r>
    </w:p>
    <w:p w:rsidR="00836507" w:rsidRDefault="00836507" w:rsidP="00836507">
      <w:pPr>
        <w:pStyle w:val="ListParagraph"/>
      </w:pPr>
    </w:p>
    <w:p w:rsidR="00836507" w:rsidRPr="00C51B35" w:rsidRDefault="004D66C4" w:rsidP="00836507">
      <w:pPr>
        <w:pStyle w:val="Quote"/>
      </w:pPr>
      <w:r>
        <w:t>“We are of the view that [not allowing third parties to challenge HDEC decisions]</w:t>
      </w:r>
      <w:r w:rsidR="00836507" w:rsidRPr="00C51B35">
        <w:t xml:space="preserve"> unnecessarily restricts the right of public scrutiny of public decisions and may conflict with the right to seek judicial review. Given past history of ethical decisions in New Zealand, we view this with concern</w:t>
      </w:r>
      <w:r>
        <w:t>.”</w:t>
      </w:r>
    </w:p>
    <w:p w:rsidR="00836507" w:rsidRDefault="00836507" w:rsidP="00836507">
      <w:pPr>
        <w:pStyle w:val="ListParagraph"/>
      </w:pPr>
    </w:p>
    <w:p w:rsidR="004D66C4" w:rsidRDefault="004D66C4" w:rsidP="004D66C4">
      <w:r>
        <w:t>Other submitters considered that:</w:t>
      </w:r>
    </w:p>
    <w:p w:rsidR="004D66C4" w:rsidRDefault="004D66C4" w:rsidP="004D66C4"/>
    <w:p w:rsidR="004D66C4" w:rsidRDefault="004D66C4" w:rsidP="004D66C4">
      <w:pPr>
        <w:pStyle w:val="ListParagraph"/>
        <w:numPr>
          <w:ilvl w:val="0"/>
          <w:numId w:val="64"/>
        </w:numPr>
      </w:pPr>
      <w:r>
        <w:t xml:space="preserve">the SOPs should </w:t>
      </w:r>
      <w:r w:rsidR="00A44DA5">
        <w:t>more clearly highlight that only investigators can challenge HDEC decisions</w:t>
      </w:r>
    </w:p>
    <w:p w:rsidR="00A44DA5" w:rsidRDefault="00A44DA5" w:rsidP="004D66C4">
      <w:pPr>
        <w:pStyle w:val="ListParagraph"/>
        <w:numPr>
          <w:ilvl w:val="0"/>
          <w:numId w:val="64"/>
        </w:numPr>
      </w:pPr>
      <w:r>
        <w:t>the HDEC secretariat should not have any role in advising HDECs as to whether their decision-making process accords with the SOPs</w:t>
      </w:r>
    </w:p>
    <w:p w:rsidR="00A44DA5" w:rsidRDefault="00A44DA5" w:rsidP="004D66C4">
      <w:pPr>
        <w:pStyle w:val="ListParagraph"/>
        <w:numPr>
          <w:ilvl w:val="0"/>
          <w:numId w:val="64"/>
        </w:numPr>
      </w:pPr>
      <w:r>
        <w:t>complaints should be heard by an independent third party, such as the HRCEC</w:t>
      </w:r>
    </w:p>
    <w:p w:rsidR="00A44DA5" w:rsidRDefault="00A44DA5" w:rsidP="004D66C4">
      <w:pPr>
        <w:pStyle w:val="ListParagraph"/>
        <w:numPr>
          <w:ilvl w:val="0"/>
          <w:numId w:val="64"/>
        </w:numPr>
      </w:pPr>
      <w:r>
        <w:t>the HRCEC should not have the power to “undermine” HDECs through an appeal process</w:t>
      </w:r>
    </w:p>
    <w:p w:rsidR="00A44DA5" w:rsidRDefault="00A44DA5" w:rsidP="004D66C4">
      <w:pPr>
        <w:pStyle w:val="ListParagraph"/>
        <w:numPr>
          <w:ilvl w:val="0"/>
          <w:numId w:val="64"/>
        </w:numPr>
      </w:pPr>
      <w:proofErr w:type="gramStart"/>
      <w:r>
        <w:t>the</w:t>
      </w:r>
      <w:proofErr w:type="gramEnd"/>
      <w:r>
        <w:t xml:space="preserve"> rules on challenging HDEC decisions </w:t>
      </w:r>
      <w:r w:rsidR="00011276">
        <w:t xml:space="preserve">set down in the draft SOPs </w:t>
      </w:r>
      <w:r>
        <w:t>were clear and appropriate.</w:t>
      </w:r>
    </w:p>
    <w:p w:rsidR="00836507" w:rsidRDefault="00836507" w:rsidP="00836507"/>
    <w:p w:rsidR="00875B9F" w:rsidRDefault="00A44DA5" w:rsidP="00875B9F">
      <w:pPr>
        <w:pStyle w:val="Heading2"/>
      </w:pPr>
      <w:bookmarkStart w:id="22" w:name="_Toc319588544"/>
      <w:bookmarkStart w:id="23" w:name="_Toc324258581"/>
      <w:r>
        <w:t>Section 10: Locality r</w:t>
      </w:r>
      <w:r w:rsidR="00875B9F">
        <w:t>eview</w:t>
      </w:r>
      <w:bookmarkEnd w:id="22"/>
      <w:bookmarkEnd w:id="23"/>
    </w:p>
    <w:p w:rsidR="00A44DA5" w:rsidRDefault="00A44DA5" w:rsidP="00875B9F"/>
    <w:p w:rsidR="00A44DA5" w:rsidRDefault="00A44DA5" w:rsidP="00875B9F">
      <w:r>
        <w:rPr>
          <w:noProof/>
          <w:lang w:eastAsia="en-NZ"/>
        </w:rPr>
        <w:drawing>
          <wp:inline distT="0" distB="0" distL="0" distR="0" wp14:anchorId="05840AEF" wp14:editId="35A43450">
            <wp:extent cx="5727700" cy="1524000"/>
            <wp:effectExtent l="0" t="0" r="25400"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4DA5" w:rsidRDefault="00A44DA5" w:rsidP="00875B9F"/>
    <w:p w:rsidR="00A44DA5" w:rsidRDefault="00875B9F" w:rsidP="00875B9F">
      <w:r>
        <w:t xml:space="preserve">Twenty-four respondents </w:t>
      </w:r>
      <w:r w:rsidR="00A44DA5">
        <w:t>commented on this section of the draft SOPs</w:t>
      </w:r>
      <w:r>
        <w:t xml:space="preserve">.  </w:t>
      </w:r>
    </w:p>
    <w:p w:rsidR="00A44DA5" w:rsidRDefault="00A44DA5" w:rsidP="00875B9F"/>
    <w:p w:rsidR="00875B9F" w:rsidRDefault="00875B9F" w:rsidP="00875B9F">
      <w:r>
        <w:t>The most frequent responses related to concern about risk associated with distancing the HDEC from the locality review process, and to the assertion in the SOPs that as observational studies do not have localities they do not need locality review.</w:t>
      </w:r>
    </w:p>
    <w:p w:rsidR="00A44DA5" w:rsidRDefault="00A44DA5" w:rsidP="00875B9F"/>
    <w:p w:rsidR="00A44DA5" w:rsidRPr="00A44DA5" w:rsidRDefault="00A44DA5" w:rsidP="00875B9F">
      <w:proofErr w:type="gramStart"/>
      <w:r>
        <w:rPr>
          <w:b/>
        </w:rPr>
        <w:t>Definition of “locality”.</w:t>
      </w:r>
      <w:proofErr w:type="gramEnd"/>
      <w:r>
        <w:t xml:space="preserve">  Five submitters suggested that the definition of “locality” be extended to include observational studies, where appropriate.  Two respondents considered that the directive that observational studies need to obtain management approval from organisations involved in their studies is confusing, as “management approval” and “locality approval” are the same thing in most research institutions.</w:t>
      </w:r>
    </w:p>
    <w:p w:rsidR="00A44DA5" w:rsidRDefault="00A44DA5" w:rsidP="00A44DA5"/>
    <w:p w:rsidR="00875B9F" w:rsidRDefault="00875B9F" w:rsidP="00A44DA5">
      <w:r>
        <w:t xml:space="preserve">Three respondents noted that the </w:t>
      </w:r>
      <w:r w:rsidRPr="0062679B">
        <w:t xml:space="preserve">SOPs relating to localities </w:t>
      </w:r>
      <w:r w:rsidR="00266865">
        <w:t>may</w:t>
      </w:r>
      <w:r w:rsidRPr="0062679B">
        <w:t xml:space="preserve"> not work well for research involving </w:t>
      </w:r>
      <w:r>
        <w:t>g</w:t>
      </w:r>
      <w:r w:rsidRPr="0062679B">
        <w:t xml:space="preserve">eneral </w:t>
      </w:r>
      <w:r>
        <w:t>p</w:t>
      </w:r>
      <w:r w:rsidRPr="0062679B">
        <w:t>ractices</w:t>
      </w:r>
      <w:r>
        <w:t>.</w:t>
      </w:r>
      <w:r w:rsidRPr="0062679B">
        <w:t xml:space="preserve"> </w:t>
      </w:r>
      <w:r>
        <w:t xml:space="preserve"> </w:t>
      </w:r>
    </w:p>
    <w:p w:rsidR="00875B9F" w:rsidRDefault="00875B9F" w:rsidP="00875B9F">
      <w:pPr>
        <w:ind w:left="720"/>
      </w:pPr>
    </w:p>
    <w:p w:rsidR="00875B9F" w:rsidRDefault="00875B9F" w:rsidP="00875B9F">
      <w:pPr>
        <w:ind w:left="720"/>
        <w:rPr>
          <w:rFonts w:eastAsia="Times New Roman" w:cs="Arial"/>
          <w:i/>
          <w:color w:val="000000"/>
          <w:sz w:val="20"/>
          <w:szCs w:val="20"/>
          <w:lang w:val="en-GB" w:eastAsia="en-NZ"/>
        </w:rPr>
      </w:pPr>
      <w:r>
        <w:rPr>
          <w:rFonts w:eastAsia="Times New Roman" w:cs="Arial"/>
          <w:i/>
          <w:color w:val="000000"/>
          <w:sz w:val="20"/>
          <w:szCs w:val="20"/>
          <w:lang w:val="en-GB" w:eastAsia="en-NZ"/>
        </w:rPr>
        <w:t>“</w:t>
      </w:r>
      <w:r w:rsidRPr="00657805">
        <w:rPr>
          <w:rFonts w:eastAsia="Times New Roman" w:cs="Arial"/>
          <w:i/>
          <w:color w:val="000000"/>
          <w:sz w:val="20"/>
          <w:szCs w:val="20"/>
          <w:lang w:val="en-GB" w:eastAsia="en-NZ"/>
        </w:rPr>
        <w:t xml:space="preserve">In general, the Locality Assessment section doesn’t appear to work well for research involving general practice.  What constitutes a “locality” is unclear in these circumstances. The document states it should be the organisation responsible for a hospital, surgery </w:t>
      </w:r>
      <w:proofErr w:type="spellStart"/>
      <w:r w:rsidRPr="00657805">
        <w:rPr>
          <w:rFonts w:eastAsia="Times New Roman" w:cs="Arial"/>
          <w:i/>
          <w:color w:val="000000"/>
          <w:sz w:val="20"/>
          <w:szCs w:val="20"/>
          <w:lang w:val="en-GB" w:eastAsia="en-NZ"/>
        </w:rPr>
        <w:t>etc</w:t>
      </w:r>
      <w:proofErr w:type="spellEnd"/>
      <w:r w:rsidRPr="00657805">
        <w:rPr>
          <w:rFonts w:eastAsia="Times New Roman" w:cs="Arial"/>
          <w:i/>
          <w:color w:val="000000"/>
          <w:sz w:val="20"/>
          <w:szCs w:val="20"/>
          <w:lang w:val="en-GB" w:eastAsia="en-NZ"/>
        </w:rPr>
        <w:t>, but it is unclear what degree of “responsibility” is meant with respect to ownership and/or governance particularly for organisations like general practice and those with overlapping governance.</w:t>
      </w:r>
    </w:p>
    <w:p w:rsidR="00875B9F" w:rsidRDefault="00875B9F" w:rsidP="00875B9F">
      <w:pPr>
        <w:rPr>
          <w:rFonts w:eastAsia="Times New Roman" w:cs="Arial"/>
          <w:i/>
          <w:color w:val="000000"/>
          <w:sz w:val="20"/>
          <w:szCs w:val="20"/>
          <w:lang w:val="en-GB" w:eastAsia="en-NZ"/>
        </w:rPr>
      </w:pPr>
    </w:p>
    <w:p w:rsidR="00875B9F" w:rsidRDefault="00875B9F" w:rsidP="00A44DA5">
      <w:r>
        <w:t xml:space="preserve">One </w:t>
      </w:r>
      <w:r w:rsidR="00A44DA5">
        <w:t>respondent</w:t>
      </w:r>
      <w:r>
        <w:t xml:space="preserve"> noted that </w:t>
      </w:r>
      <w:r w:rsidR="00A44DA5">
        <w:t xml:space="preserve">the draft </w:t>
      </w:r>
      <w:r>
        <w:t>SOP</w:t>
      </w:r>
      <w:r w:rsidR="00A44DA5">
        <w:t xml:space="preserve"> would</w:t>
      </w:r>
      <w:r w:rsidRPr="00B61A7E">
        <w:t xml:space="preserve"> work well where ther</w:t>
      </w:r>
      <w:r>
        <w:t>e is a r</w:t>
      </w:r>
      <w:r w:rsidR="00A44DA5">
        <w:t xml:space="preserve">esearch office in place, but </w:t>
      </w:r>
      <w:r w:rsidR="002D780F">
        <w:t>might pose risk</w:t>
      </w:r>
      <w:r w:rsidRPr="00B61A7E">
        <w:t xml:space="preserve"> where this </w:t>
      </w:r>
      <w:r w:rsidR="00A44DA5">
        <w:t>was not the case</w:t>
      </w:r>
      <w:r>
        <w:t>.</w:t>
      </w:r>
    </w:p>
    <w:p w:rsidR="00A44DA5" w:rsidRDefault="00A44DA5" w:rsidP="00A44DA5"/>
    <w:p w:rsidR="00A44DA5" w:rsidRPr="00A44DA5" w:rsidRDefault="00A44DA5" w:rsidP="00A44DA5">
      <w:r>
        <w:rPr>
          <w:b/>
        </w:rPr>
        <w:t>Who is responsible?</w:t>
      </w:r>
      <w:r>
        <w:t xml:space="preserve">  </w:t>
      </w:r>
      <w:r w:rsidR="00E34CB2">
        <w:t xml:space="preserve">Two respondents noted that </w:t>
      </w:r>
      <w:r w:rsidR="002D780F">
        <w:t>investigator</w:t>
      </w:r>
      <w:r w:rsidR="00E34CB2">
        <w:t>s</w:t>
      </w:r>
      <w:r w:rsidR="00E34CB2" w:rsidRPr="008B44BD">
        <w:t xml:space="preserve"> and sponsor</w:t>
      </w:r>
      <w:r w:rsidR="00E34CB2">
        <w:t>s</w:t>
      </w:r>
      <w:r w:rsidR="00E34CB2" w:rsidRPr="008B44BD">
        <w:t xml:space="preserve"> </w:t>
      </w:r>
      <w:r w:rsidR="00E34CB2">
        <w:t>may not necessarily be able to</w:t>
      </w:r>
      <w:r w:rsidR="00E34CB2" w:rsidRPr="008B44BD">
        <w:t xml:space="preserve"> ensure </w:t>
      </w:r>
      <w:r w:rsidR="00E34CB2">
        <w:t xml:space="preserve">that an </w:t>
      </w:r>
      <w:r w:rsidR="00E34CB2" w:rsidRPr="008B44BD">
        <w:t xml:space="preserve">appropriate </w:t>
      </w:r>
      <w:r w:rsidR="002D780F">
        <w:t>person</w:t>
      </w:r>
      <w:r w:rsidR="00E34CB2" w:rsidRPr="008B44BD">
        <w:t xml:space="preserve"> </w:t>
      </w:r>
      <w:r w:rsidR="002D780F">
        <w:t>has completed</w:t>
      </w:r>
      <w:r w:rsidR="00E34CB2">
        <w:t xml:space="preserve"> </w:t>
      </w:r>
      <w:r w:rsidR="002D780F">
        <w:t>locality review</w:t>
      </w:r>
      <w:r w:rsidR="00E34CB2">
        <w:t xml:space="preserve">, and suggested that the SOPs clarify that the </w:t>
      </w:r>
      <w:r w:rsidR="00E34CB2" w:rsidRPr="008B44BD">
        <w:t>"local study team"</w:t>
      </w:r>
      <w:r w:rsidR="00E34CB2">
        <w:t xml:space="preserve"> be responsible for ensuring this. </w:t>
      </w:r>
      <w:r>
        <w:t xml:space="preserve">One submitter considered that the requirement for locality approval to be completed </w:t>
      </w:r>
      <w:r w:rsidRPr="008B44BD">
        <w:t xml:space="preserve">by </w:t>
      </w:r>
      <w:r>
        <w:t xml:space="preserve">a </w:t>
      </w:r>
      <w:r w:rsidRPr="008B44BD">
        <w:t xml:space="preserve">manager </w:t>
      </w:r>
      <w:r w:rsidR="00E34CB2">
        <w:t xml:space="preserve">should </w:t>
      </w:r>
      <w:r w:rsidRPr="008B44BD">
        <w:t xml:space="preserve">be tightened </w:t>
      </w:r>
      <w:r w:rsidR="002D780F">
        <w:t xml:space="preserve">further </w:t>
      </w:r>
      <w:r w:rsidRPr="008B44BD">
        <w:t xml:space="preserve">to </w:t>
      </w:r>
      <w:r w:rsidR="00E34CB2">
        <w:t xml:space="preserve">require </w:t>
      </w:r>
      <w:r>
        <w:t>delegation from</w:t>
      </w:r>
      <w:r w:rsidRPr="008B44BD">
        <w:t xml:space="preserve"> the CEO</w:t>
      </w:r>
      <w:r w:rsidR="002D780F">
        <w:t xml:space="preserve"> in all circumstances</w:t>
      </w:r>
      <w:r w:rsidR="00E34CB2">
        <w:t>.</w:t>
      </w:r>
    </w:p>
    <w:p w:rsidR="00875B9F" w:rsidRPr="00B61A7E" w:rsidRDefault="00875B9F" w:rsidP="00875B9F">
      <w:pPr>
        <w:pStyle w:val="ListParagraph"/>
      </w:pPr>
    </w:p>
    <w:p w:rsidR="00875B9F" w:rsidRDefault="00E34CB2" w:rsidP="00E34CB2">
      <w:r>
        <w:rPr>
          <w:b/>
        </w:rPr>
        <w:t xml:space="preserve">Issues relevant to locality review.  </w:t>
      </w:r>
      <w:r w:rsidR="00875B9F">
        <w:t xml:space="preserve">Five respondents noted that this section (as with sections above) should be </w:t>
      </w:r>
      <w:r w:rsidR="00875B9F" w:rsidRPr="00E57C0C">
        <w:t>applicable to all studies</w:t>
      </w:r>
      <w:r w:rsidR="00875B9F">
        <w:t>,</w:t>
      </w:r>
      <w:r w:rsidR="00875B9F" w:rsidRPr="00E57C0C">
        <w:t xml:space="preserve"> not just intervention studies</w:t>
      </w:r>
      <w:r w:rsidR="00875B9F">
        <w:t>.  Other comments included:</w:t>
      </w:r>
    </w:p>
    <w:p w:rsidR="00875B9F" w:rsidRPr="00E57C0C" w:rsidRDefault="00875B9F" w:rsidP="00E34CB2">
      <w:pPr>
        <w:pStyle w:val="ListParagraph"/>
        <w:numPr>
          <w:ilvl w:val="0"/>
          <w:numId w:val="64"/>
        </w:numPr>
      </w:pPr>
      <w:r>
        <w:t xml:space="preserve">provisions relating to local cultural issues, other local staff, and information for those who may not adequately understand English need to be more clearly defined, </w:t>
      </w:r>
      <w:r w:rsidRPr="00E57C0C">
        <w:t>including</w:t>
      </w:r>
      <w:r w:rsidR="002D780F">
        <w:t>, for example,</w:t>
      </w:r>
      <w:r w:rsidRPr="00E57C0C">
        <w:t xml:space="preserve"> </w:t>
      </w:r>
      <w:r>
        <w:t xml:space="preserve">clear guidelines on </w:t>
      </w:r>
      <w:r w:rsidRPr="00E57C0C">
        <w:t>what constitutes “reasonable steps”</w:t>
      </w:r>
      <w:r>
        <w:t xml:space="preserve"> </w:t>
      </w:r>
    </w:p>
    <w:p w:rsidR="00875B9F" w:rsidRPr="00E57C0C" w:rsidRDefault="00E34CB2" w:rsidP="00E34CB2">
      <w:pPr>
        <w:pStyle w:val="ListParagraph"/>
        <w:numPr>
          <w:ilvl w:val="0"/>
          <w:numId w:val="64"/>
        </w:numPr>
      </w:pPr>
      <w:r>
        <w:t xml:space="preserve">HDECs should </w:t>
      </w:r>
      <w:r w:rsidR="00875B9F">
        <w:t>continue to check</w:t>
      </w:r>
      <w:r w:rsidR="00875B9F" w:rsidRPr="00E57C0C">
        <w:t xml:space="preserve"> </w:t>
      </w:r>
      <w:r>
        <w:t xml:space="preserve">the </w:t>
      </w:r>
      <w:r w:rsidR="00875B9F">
        <w:t xml:space="preserve">suitability of </w:t>
      </w:r>
      <w:r>
        <w:t>each locality’s</w:t>
      </w:r>
      <w:r w:rsidR="00875B9F">
        <w:t xml:space="preserve"> </w:t>
      </w:r>
      <w:r>
        <w:t>investigator, local</w:t>
      </w:r>
      <w:r w:rsidR="00875B9F">
        <w:t xml:space="preserve"> cultural issues, provision of information to those for </w:t>
      </w:r>
      <w:proofErr w:type="gramStart"/>
      <w:r w:rsidR="00875B9F">
        <w:t>whom</w:t>
      </w:r>
      <w:proofErr w:type="gramEnd"/>
      <w:r w:rsidR="00875B9F">
        <w:t xml:space="preserve"> English is not their first language, and </w:t>
      </w:r>
      <w:r>
        <w:t xml:space="preserve">local </w:t>
      </w:r>
      <w:r w:rsidR="00875B9F">
        <w:t>participant info</w:t>
      </w:r>
      <w:r>
        <w:t>rmation sheet and consent forms.</w:t>
      </w:r>
    </w:p>
    <w:p w:rsidR="00266865" w:rsidRDefault="00266865" w:rsidP="00E34CB2">
      <w:pPr>
        <w:rPr>
          <w:b/>
        </w:rPr>
      </w:pPr>
    </w:p>
    <w:p w:rsidR="00875B9F" w:rsidRDefault="00E34CB2" w:rsidP="00E34CB2">
      <w:proofErr w:type="gramStart"/>
      <w:r>
        <w:rPr>
          <w:b/>
        </w:rPr>
        <w:t>Oversight of locality approvals.</w:t>
      </w:r>
      <w:proofErr w:type="gramEnd"/>
      <w:r>
        <w:rPr>
          <w:b/>
        </w:rPr>
        <w:t xml:space="preserve">  </w:t>
      </w:r>
      <w:r w:rsidR="00875B9F">
        <w:t xml:space="preserve">Five respondents </w:t>
      </w:r>
      <w:r w:rsidR="00875B9F" w:rsidRPr="003A673B">
        <w:t>disagree</w:t>
      </w:r>
      <w:r w:rsidR="00875B9F">
        <w:t>d</w:t>
      </w:r>
      <w:r w:rsidR="00875B9F" w:rsidRPr="003A673B">
        <w:t xml:space="preserve"> with the </w:t>
      </w:r>
      <w:r>
        <w:t>draft SOPs</w:t>
      </w:r>
      <w:r w:rsidR="009D2316">
        <w:t>’</w:t>
      </w:r>
      <w:r>
        <w:t xml:space="preserve"> proposal</w:t>
      </w:r>
      <w:r w:rsidR="00875B9F" w:rsidRPr="003A673B">
        <w:t xml:space="preserve"> that HDECs </w:t>
      </w:r>
      <w:r>
        <w:t xml:space="preserve">not </w:t>
      </w:r>
      <w:r w:rsidR="009D2316">
        <w:t xml:space="preserve">need to </w:t>
      </w:r>
      <w:r>
        <w:t>be</w:t>
      </w:r>
      <w:r w:rsidR="00875B9F" w:rsidRPr="003A673B">
        <w:t xml:space="preserve"> notified w</w:t>
      </w:r>
      <w:r w:rsidR="00266865">
        <w:t>hen locality review approval had</w:t>
      </w:r>
      <w:r w:rsidR="00875B9F" w:rsidRPr="003A673B">
        <w:t xml:space="preserve"> been granted</w:t>
      </w:r>
      <w:r w:rsidR="00875B9F">
        <w:t xml:space="preserve">, </w:t>
      </w:r>
      <w:r w:rsidR="00266865">
        <w:t>and considered</w:t>
      </w:r>
      <w:r w:rsidR="00875B9F">
        <w:t xml:space="preserve"> </w:t>
      </w:r>
      <w:r w:rsidR="009D2316">
        <w:t xml:space="preserve">that </w:t>
      </w:r>
      <w:r w:rsidR="00875B9F">
        <w:t>locality approval</w:t>
      </w:r>
      <w:r w:rsidR="002D780F">
        <w:t>s</w:t>
      </w:r>
      <w:r w:rsidR="00875B9F">
        <w:t xml:space="preserve"> </w:t>
      </w:r>
      <w:r w:rsidR="009D2316">
        <w:t xml:space="preserve">ought to </w:t>
      </w:r>
      <w:r w:rsidR="00875B9F">
        <w:t>be monitored</w:t>
      </w:r>
      <w:r w:rsidR="009D2316">
        <w:t xml:space="preserve"> </w:t>
      </w:r>
      <w:r w:rsidR="002D780F">
        <w:t xml:space="preserve">in some way </w:t>
      </w:r>
      <w:r w:rsidR="009D2316">
        <w:t>by HDECs</w:t>
      </w:r>
      <w:r w:rsidR="002D780F">
        <w:t xml:space="preserve"> (or notified to all parties to a study)</w:t>
      </w:r>
      <w:r w:rsidR="00875B9F">
        <w:t xml:space="preserve">.  </w:t>
      </w:r>
    </w:p>
    <w:p w:rsidR="002D780F" w:rsidRDefault="002D780F" w:rsidP="00E34CB2"/>
    <w:p w:rsidR="002D780F" w:rsidRDefault="002D780F" w:rsidP="00E34CB2">
      <w:r>
        <w:t>Other submitters raised issues around:</w:t>
      </w:r>
    </w:p>
    <w:p w:rsidR="00266865" w:rsidRDefault="00266865" w:rsidP="00E34CB2"/>
    <w:p w:rsidR="002D780F" w:rsidRDefault="002D780F" w:rsidP="002D780F">
      <w:pPr>
        <w:pStyle w:val="ListParagraph"/>
        <w:numPr>
          <w:ilvl w:val="0"/>
          <w:numId w:val="64"/>
        </w:numPr>
      </w:pPr>
      <w:r>
        <w:t xml:space="preserve">cancelation of locality approval, suggesting that </w:t>
      </w:r>
      <w:r w:rsidRPr="002D780F">
        <w:t>all</w:t>
      </w:r>
      <w:r>
        <w:t xml:space="preserve"> locality cancelations ought to be notified to the HDEC, and </w:t>
      </w:r>
      <w:r w:rsidRPr="002D780F">
        <w:t>questioning</w:t>
      </w:r>
      <w:r>
        <w:t xml:space="preserve"> who should be responsible for deciding whether further action needed to be taken by the HDEC and other parties in such circumstances</w:t>
      </w:r>
    </w:p>
    <w:p w:rsidR="002D780F" w:rsidRDefault="002D780F" w:rsidP="002D780F">
      <w:pPr>
        <w:pStyle w:val="ListParagraph"/>
        <w:numPr>
          <w:ilvl w:val="0"/>
          <w:numId w:val="64"/>
        </w:numPr>
      </w:pPr>
      <w:proofErr w:type="gramStart"/>
      <w:r>
        <w:t>changes</w:t>
      </w:r>
      <w:proofErr w:type="gramEnd"/>
      <w:r>
        <w:t xml:space="preserve"> in lead investigators at localities, noting that immediate cancelation of locality approval could lead to serious interruption or termination of research, and suggesting that the rules allow for an interim lead investigator to be appointed.</w:t>
      </w:r>
    </w:p>
    <w:p w:rsidR="002D780F" w:rsidRDefault="002D780F" w:rsidP="002D780F"/>
    <w:p w:rsidR="002D780F" w:rsidRDefault="002D780F" w:rsidP="002D780F">
      <w:proofErr w:type="gramStart"/>
      <w:r>
        <w:rPr>
          <w:b/>
        </w:rPr>
        <w:t>Other.</w:t>
      </w:r>
      <w:proofErr w:type="gramEnd"/>
      <w:r>
        <w:rPr>
          <w:b/>
        </w:rPr>
        <w:t xml:space="preserve">  </w:t>
      </w:r>
      <w:r>
        <w:t xml:space="preserve">Other comments included the need to ensure that training and resources for locality review are appropriate, the possible introduction of “research passports” to ensure competence, and the standardisation of locality review forms and processes. </w:t>
      </w:r>
    </w:p>
    <w:p w:rsidR="00875B9F" w:rsidRPr="003C2689" w:rsidRDefault="00875B9F" w:rsidP="00E42699">
      <w:pPr>
        <w:pStyle w:val="ListParagraph"/>
      </w:pPr>
    </w:p>
    <w:p w:rsidR="00875B9F" w:rsidRDefault="00875B9F" w:rsidP="00875B9F">
      <w:pPr>
        <w:pStyle w:val="Heading2"/>
      </w:pPr>
      <w:bookmarkStart w:id="24" w:name="_Toc319588551"/>
      <w:bookmarkStart w:id="25" w:name="_Toc324258582"/>
      <w:r>
        <w:t>Section 11: Amendments to approved studies</w:t>
      </w:r>
      <w:bookmarkEnd w:id="24"/>
      <w:bookmarkEnd w:id="25"/>
    </w:p>
    <w:p w:rsidR="002D780F" w:rsidRDefault="002D780F" w:rsidP="002D780F"/>
    <w:p w:rsidR="002D780F" w:rsidRDefault="002D780F" w:rsidP="002D780F">
      <w:r>
        <w:rPr>
          <w:noProof/>
          <w:lang w:eastAsia="en-NZ"/>
        </w:rPr>
        <w:drawing>
          <wp:inline distT="0" distB="0" distL="0" distR="0" wp14:anchorId="7777B175" wp14:editId="45DFD1E3">
            <wp:extent cx="5727700" cy="1524000"/>
            <wp:effectExtent l="0" t="0" r="2540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780F" w:rsidRDefault="002D780F" w:rsidP="002D780F"/>
    <w:p w:rsidR="002D780F" w:rsidRDefault="00875B9F" w:rsidP="002D780F">
      <w:r>
        <w:t xml:space="preserve">Eighteen respondents </w:t>
      </w:r>
      <w:r w:rsidR="002D780F">
        <w:t>provided feedback on this section of the draft SOPs.</w:t>
      </w:r>
      <w:r>
        <w:t xml:space="preserve">  </w:t>
      </w:r>
    </w:p>
    <w:p w:rsidR="002D780F" w:rsidRDefault="002D780F" w:rsidP="002D780F"/>
    <w:p w:rsidR="00875B9F" w:rsidRDefault="005E4D14" w:rsidP="005E4D14">
      <w:proofErr w:type="gramStart"/>
      <w:r>
        <w:rPr>
          <w:b/>
        </w:rPr>
        <w:t>Definition of “substantial amendment”.</w:t>
      </w:r>
      <w:proofErr w:type="gramEnd"/>
      <w:r>
        <w:rPr>
          <w:b/>
        </w:rPr>
        <w:t xml:space="preserve">  </w:t>
      </w:r>
      <w:r w:rsidR="00875B9F">
        <w:t xml:space="preserve">Most </w:t>
      </w:r>
      <w:r>
        <w:t>feedback on this section</w:t>
      </w:r>
      <w:r w:rsidR="00875B9F">
        <w:t xml:space="preserve"> related to the </w:t>
      </w:r>
      <w:r>
        <w:t>need to distinguish clearly between “substantial” and “non-</w:t>
      </w:r>
      <w:r w:rsidR="00875B9F">
        <w:t>substantial” (or minor) amendments</w:t>
      </w:r>
      <w:r>
        <w:t xml:space="preserve">.  </w:t>
      </w:r>
      <w:r w:rsidR="00875B9F">
        <w:t xml:space="preserve">Ten submitters </w:t>
      </w:r>
      <w:r>
        <w:t>considered that the draft SOPs were not sufficiently clear on this point, or that some of the examples of “non-substantial” amendments were inappropriate.</w:t>
      </w:r>
    </w:p>
    <w:p w:rsidR="00875B9F" w:rsidRDefault="00875B9F" w:rsidP="00875B9F">
      <w:pPr>
        <w:pStyle w:val="ListParagraph"/>
      </w:pPr>
    </w:p>
    <w:p w:rsidR="00875B9F" w:rsidRDefault="00875B9F" w:rsidP="00875B9F">
      <w:pPr>
        <w:pStyle w:val="Quote"/>
      </w:pPr>
      <w:r>
        <w:t>“[We]</w:t>
      </w:r>
      <w:r w:rsidRPr="00735B2C">
        <w:t xml:space="preserve"> would like some clarification on what </w:t>
      </w:r>
      <w:proofErr w:type="gramStart"/>
      <w:r w:rsidRPr="00735B2C">
        <w:t>constitutes</w:t>
      </w:r>
      <w:proofErr w:type="gramEnd"/>
      <w:r w:rsidRPr="00735B2C">
        <w:t xml:space="preserve"> a ‘significant change’ or ‘significant degree’?  We consider the wording here to be overly subjective and reliant on the researchers discretion.  We urge the development of much clearer guidelines about what amendments require approval.  It is our perspective that anything other than extremely minor administrative changes should be notified to HDECs and the committees themselves ascertain whether approval is required.</w:t>
      </w:r>
      <w:r>
        <w:t>”</w:t>
      </w:r>
      <w:r w:rsidRPr="00735B2C">
        <w:t xml:space="preserve"> </w:t>
      </w:r>
    </w:p>
    <w:p w:rsidR="00875B9F" w:rsidRDefault="00875B9F" w:rsidP="00875B9F">
      <w:pPr>
        <w:pStyle w:val="ListParagraph"/>
      </w:pPr>
    </w:p>
    <w:p w:rsidR="00875B9F" w:rsidRDefault="005E4D14" w:rsidP="005E4D14">
      <w:r>
        <w:t xml:space="preserve">Eight submitters thought that researchers should not have </w:t>
      </w:r>
      <w:r w:rsidR="00266865">
        <w:t xml:space="preserve">the </w:t>
      </w:r>
      <w:r>
        <w:t xml:space="preserve">power to </w:t>
      </w:r>
      <w:r w:rsidR="00266865">
        <w:t xml:space="preserve">decide </w:t>
      </w:r>
      <w:r>
        <w:t>whether or not a</w:t>
      </w:r>
      <w:r w:rsidR="00875B9F">
        <w:t xml:space="preserve"> </w:t>
      </w:r>
      <w:r>
        <w:t>given amendment to a study wa</w:t>
      </w:r>
      <w:r w:rsidR="00875B9F">
        <w:t>s substantial</w:t>
      </w:r>
      <w:r>
        <w:t>,</w:t>
      </w:r>
      <w:r w:rsidR="00875B9F">
        <w:t xml:space="preserve"> and </w:t>
      </w:r>
      <w:r>
        <w:t xml:space="preserve">suggested </w:t>
      </w:r>
      <w:r w:rsidR="00875B9F">
        <w:t xml:space="preserve">that all proposed amendments go to a third party (possibly the HDEC chair, who might consult with others) to determine </w:t>
      </w:r>
      <w:r>
        <w:t>whether review was required</w:t>
      </w:r>
      <w:r w:rsidR="00875B9F">
        <w:t>.</w:t>
      </w:r>
    </w:p>
    <w:p w:rsidR="005E4D14" w:rsidRDefault="005E4D14" w:rsidP="005E4D14"/>
    <w:p w:rsidR="00875B9F" w:rsidRDefault="00875B9F" w:rsidP="005E4D14">
      <w:r>
        <w:t xml:space="preserve">Five respondents </w:t>
      </w:r>
      <w:r w:rsidR="005E4D14">
        <w:t>asked that the SOPs be amended to confirm that</w:t>
      </w:r>
      <w:r>
        <w:t xml:space="preserve"> </w:t>
      </w:r>
      <w:r w:rsidRPr="005D7EFB">
        <w:t>HDEC</w:t>
      </w:r>
      <w:r>
        <w:t>s</w:t>
      </w:r>
      <w:r w:rsidRPr="005D7EFB">
        <w:t xml:space="preserve"> </w:t>
      </w:r>
      <w:r w:rsidR="005E4D14">
        <w:t>would</w:t>
      </w:r>
      <w:r>
        <w:t xml:space="preserve"> </w:t>
      </w:r>
      <w:r w:rsidR="005E4D14">
        <w:t>continue to acknowledge the submission of "non-</w:t>
      </w:r>
      <w:r w:rsidRPr="005D7EFB">
        <w:t xml:space="preserve">substantial" </w:t>
      </w:r>
      <w:r w:rsidR="005E4D14">
        <w:t xml:space="preserve">amendments, as might be required by sponsors and auditors to demonstrate </w:t>
      </w:r>
      <w:r w:rsidRPr="005D7EFB">
        <w:t xml:space="preserve">compliance with </w:t>
      </w:r>
      <w:r w:rsidR="005E4D14">
        <w:t>international good clinical practice guidelines</w:t>
      </w:r>
      <w:r>
        <w:t>.</w:t>
      </w:r>
    </w:p>
    <w:p w:rsidR="005E4D14" w:rsidRDefault="005E4D14" w:rsidP="005E4D14"/>
    <w:p w:rsidR="00875B9F" w:rsidRDefault="00875B9F" w:rsidP="005E4D14">
      <w:r>
        <w:t>T</w:t>
      </w:r>
      <w:r w:rsidR="005E4D14">
        <w:t>hree</w:t>
      </w:r>
      <w:r>
        <w:t xml:space="preserve"> respondents suggested that all substantial amendments should be approved by at least two people in addition to the Chair</w:t>
      </w:r>
      <w:r w:rsidR="005E4D14">
        <w:t xml:space="preserve">, or </w:t>
      </w:r>
      <w:r>
        <w:t>that a delegated authority be used to approve non-substantial amendments.</w:t>
      </w:r>
    </w:p>
    <w:p w:rsidR="005E4D14" w:rsidRDefault="005E4D14" w:rsidP="005E4D14"/>
    <w:p w:rsidR="00875B9F" w:rsidRDefault="005E4D14" w:rsidP="005E4D14">
      <w:proofErr w:type="gramStart"/>
      <w:r>
        <w:rPr>
          <w:b/>
        </w:rPr>
        <w:t>Other.</w:t>
      </w:r>
      <w:proofErr w:type="gramEnd"/>
      <w:r>
        <w:t xml:space="preserve">  </w:t>
      </w:r>
      <w:r w:rsidR="00875B9F">
        <w:t>Other co</w:t>
      </w:r>
      <w:r>
        <w:t xml:space="preserve">mments on this section included the need for HDEC process to recognise that multiple minor amendments could constitute a substantial amendment, and the suggestion that </w:t>
      </w:r>
      <w:r w:rsidR="00875B9F">
        <w:t>all amendments be attached to the application in the electronic applications database</w:t>
      </w:r>
      <w:r>
        <w:t>.</w:t>
      </w:r>
    </w:p>
    <w:p w:rsidR="00875B9F" w:rsidRDefault="00875B9F" w:rsidP="00B71650"/>
    <w:p w:rsidR="00043CEF" w:rsidRDefault="00043CEF" w:rsidP="00043CEF">
      <w:pPr>
        <w:pStyle w:val="Heading2"/>
      </w:pPr>
      <w:bookmarkStart w:id="26" w:name="_Toc319588552"/>
      <w:bookmarkStart w:id="27" w:name="_Toc324258583"/>
      <w:r>
        <w:t>Section 12: Post-approval processes</w:t>
      </w:r>
      <w:bookmarkEnd w:id="26"/>
      <w:bookmarkEnd w:id="27"/>
    </w:p>
    <w:p w:rsidR="005E4D14" w:rsidRDefault="005E4D14" w:rsidP="005E4D14"/>
    <w:p w:rsidR="005E4D14" w:rsidRDefault="005E4D14" w:rsidP="005E4D14">
      <w:r>
        <w:rPr>
          <w:noProof/>
          <w:lang w:eastAsia="en-NZ"/>
        </w:rPr>
        <w:drawing>
          <wp:inline distT="0" distB="0" distL="0" distR="0" wp14:anchorId="3683B906" wp14:editId="765DE08F">
            <wp:extent cx="5727700" cy="1524000"/>
            <wp:effectExtent l="0" t="0" r="25400" b="1905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4D14" w:rsidRDefault="005E4D14" w:rsidP="005E4D14"/>
    <w:p w:rsidR="00294D2E" w:rsidRDefault="00294D2E" w:rsidP="005E4D14">
      <w:r>
        <w:t>Nineteen submitters commented on this section of the draft SOPs.</w:t>
      </w:r>
    </w:p>
    <w:p w:rsidR="00294D2E" w:rsidRDefault="00294D2E" w:rsidP="005E4D14"/>
    <w:p w:rsidR="00294D2E" w:rsidRDefault="00294D2E" w:rsidP="005E4D14">
      <w:proofErr w:type="gramStart"/>
      <w:r>
        <w:rPr>
          <w:b/>
        </w:rPr>
        <w:t>Annual progress reports</w:t>
      </w:r>
      <w:r>
        <w:t>.</w:t>
      </w:r>
      <w:proofErr w:type="gramEnd"/>
      <w:r>
        <w:t xml:space="preserve">  </w:t>
      </w:r>
      <w:r w:rsidR="00C44CB5">
        <w:t xml:space="preserve">A </w:t>
      </w:r>
      <w:r w:rsidR="002A0820">
        <w:t>v</w:t>
      </w:r>
      <w:r w:rsidR="00C44CB5">
        <w:t>ariety of comment was received on the draft SOPs’ description of annual reporting processes.</w:t>
      </w:r>
    </w:p>
    <w:p w:rsidR="00C44CB5" w:rsidRDefault="00C44CB5" w:rsidP="005E4D14"/>
    <w:p w:rsidR="00C44CB5" w:rsidRDefault="00C44CB5" w:rsidP="00C44CB5">
      <w:pPr>
        <w:pStyle w:val="ListParagraph"/>
        <w:numPr>
          <w:ilvl w:val="0"/>
          <w:numId w:val="64"/>
        </w:numPr>
      </w:pPr>
      <w:r>
        <w:t xml:space="preserve">Three submitters suggested that the SOPs require acknowledgement letters for annual progress reports </w:t>
      </w:r>
      <w:r w:rsidR="009B6FD6">
        <w:t>to include start and end dates for re-approval, as required by some study sponsors and auditors.</w:t>
      </w:r>
    </w:p>
    <w:p w:rsidR="009B6FD6" w:rsidRDefault="009B6FD6" w:rsidP="00C44CB5">
      <w:pPr>
        <w:pStyle w:val="ListParagraph"/>
        <w:numPr>
          <w:ilvl w:val="0"/>
          <w:numId w:val="64"/>
        </w:numPr>
      </w:pPr>
      <w:r>
        <w:t>Three submitters noted the difficulty of producing local safety information specifically for the proposed “annual safety report”, which would be required for studies involving a new medicine.  These submitters suggested that the SOPs allow researchers and sponsors to align the timing of reports with other jurisdictions, and specify that international safety documents (such as the executive summary to safety reports required by European regulator) be able to be used, with extra commentary from the New Zealand researcher if required.</w:t>
      </w:r>
      <w:r w:rsidR="004131D0">
        <w:t xml:space="preserve">  One submitter considered that annual safety reports be required for studies other than those involving new medicines.</w:t>
      </w:r>
    </w:p>
    <w:p w:rsidR="009B6FD6" w:rsidRDefault="009B6FD6" w:rsidP="00C44CB5">
      <w:pPr>
        <w:pStyle w:val="ListParagraph"/>
        <w:numPr>
          <w:ilvl w:val="0"/>
          <w:numId w:val="64"/>
        </w:numPr>
      </w:pPr>
      <w:r>
        <w:t>Two submitters</w:t>
      </w:r>
      <w:r w:rsidR="004131D0">
        <w:t xml:space="preserve"> suggested that a standard form be used for annual progress reports, and that these be recorded electronically in the online application system, and that other parties to a study be informed of when an annual progress report was due.</w:t>
      </w:r>
    </w:p>
    <w:p w:rsidR="004131D0" w:rsidRDefault="004131D0" w:rsidP="004131D0"/>
    <w:p w:rsidR="004131D0" w:rsidRPr="004131D0" w:rsidRDefault="004131D0" w:rsidP="004131D0">
      <w:proofErr w:type="gramStart"/>
      <w:r>
        <w:rPr>
          <w:b/>
        </w:rPr>
        <w:t>Individual reporting of SAEs and SUSARs.</w:t>
      </w:r>
      <w:proofErr w:type="gramEnd"/>
      <w:r>
        <w:rPr>
          <w:b/>
        </w:rPr>
        <w:t xml:space="preserve">  </w:t>
      </w:r>
      <w:r>
        <w:t>Eleven respondents did not support the draft SOPs</w:t>
      </w:r>
      <w:r w:rsidR="00136CF8">
        <w:t>’ proposal</w:t>
      </w:r>
      <w:r>
        <w:t xml:space="preserve"> to remove the requirement for serious adverse events (SAEs) and suspected unexpected serious adverse reactions (SUSARs) to</w:t>
      </w:r>
      <w:r w:rsidRPr="00110FD0">
        <w:t xml:space="preserve"> be </w:t>
      </w:r>
      <w:r>
        <w:t xml:space="preserve">individually </w:t>
      </w:r>
      <w:r w:rsidRPr="00110FD0">
        <w:t>reported to HDECs</w:t>
      </w:r>
      <w:r>
        <w:t>.</w:t>
      </w:r>
      <w:r w:rsidR="00266865">
        <w:t xml:space="preserve">  Some of these submitters considered that this change would be inconsistent with the HDECs’ role in protecting participants, and could create an undue burden of risk on communities.</w:t>
      </w:r>
    </w:p>
    <w:p w:rsidR="00294D2E" w:rsidRDefault="00294D2E" w:rsidP="005E4D14"/>
    <w:p w:rsidR="004131D0" w:rsidRDefault="004131D0" w:rsidP="004131D0">
      <w:pPr>
        <w:pStyle w:val="Quote"/>
      </w:pPr>
      <w:r>
        <w:t>“</w:t>
      </w:r>
      <w:r w:rsidRPr="00CE52BF">
        <w:t>Researchers must be required to report adverse effects of clinical trials, so that decisions about continuing or terminating research are open to scrutiny and review of the risks and health and safety concerns of participants.</w:t>
      </w:r>
      <w:r>
        <w:t xml:space="preserve">” </w:t>
      </w:r>
    </w:p>
    <w:p w:rsidR="004131D0" w:rsidRDefault="004131D0" w:rsidP="005E4D14"/>
    <w:p w:rsidR="004131D0" w:rsidRDefault="00266865" w:rsidP="005E4D14">
      <w:r>
        <w:t xml:space="preserve">Submitters suggested that an independent body could be empowered to review SAEs on behalf of the HDECs, and that studies </w:t>
      </w:r>
      <w:r w:rsidR="002A0820">
        <w:t xml:space="preserve">should be able to be halted </w:t>
      </w:r>
      <w:r>
        <w:t>on the basis of SAE information.</w:t>
      </w:r>
    </w:p>
    <w:p w:rsidR="00266865" w:rsidRDefault="00266865" w:rsidP="00266865">
      <w:pPr>
        <w:spacing w:after="200"/>
        <w:contextualSpacing/>
      </w:pPr>
    </w:p>
    <w:p w:rsidR="002A0820" w:rsidRDefault="00266865" w:rsidP="002A0820">
      <w:proofErr w:type="gramStart"/>
      <w:r>
        <w:rPr>
          <w:b/>
        </w:rPr>
        <w:t>Protocol deviations and violations.</w:t>
      </w:r>
      <w:proofErr w:type="gramEnd"/>
      <w:r>
        <w:t xml:space="preserve">  Six submitters commented on the draft SOPs’ requirements for reporting deviations and violations</w:t>
      </w:r>
      <w:r w:rsidR="002A0820">
        <w:t>, suggesting:</w:t>
      </w:r>
      <w:r>
        <w:t xml:space="preserve"> </w:t>
      </w:r>
    </w:p>
    <w:p w:rsidR="002A0820" w:rsidRDefault="002A0820" w:rsidP="002A0820">
      <w:pPr>
        <w:pStyle w:val="ListParagraph"/>
        <w:spacing w:after="200"/>
      </w:pPr>
    </w:p>
    <w:p w:rsidR="002A0820" w:rsidRDefault="002A0820" w:rsidP="002A0820">
      <w:pPr>
        <w:pStyle w:val="ListParagraph"/>
        <w:numPr>
          <w:ilvl w:val="0"/>
          <w:numId w:val="64"/>
        </w:numPr>
        <w:spacing w:after="200"/>
      </w:pPr>
      <w:r>
        <w:t>that the draft SOPs would not be consistent with international rules on the reporting of deviations and violations</w:t>
      </w:r>
    </w:p>
    <w:p w:rsidR="002A0820" w:rsidRDefault="00266865" w:rsidP="002A0820">
      <w:pPr>
        <w:pStyle w:val="ListParagraph"/>
        <w:numPr>
          <w:ilvl w:val="0"/>
          <w:numId w:val="64"/>
        </w:numPr>
        <w:spacing w:after="200"/>
      </w:pPr>
      <w:r>
        <w:t xml:space="preserve">greater </w:t>
      </w:r>
      <w:r w:rsidR="002A0820">
        <w:t>clarification of</w:t>
      </w:r>
      <w:r>
        <w:t xml:space="preserve"> what</w:t>
      </w:r>
      <w:r w:rsidRPr="00B935DF">
        <w:t xml:space="preserve"> constitutes </w:t>
      </w:r>
      <w:r>
        <w:t xml:space="preserve">a </w:t>
      </w:r>
      <w:r w:rsidRPr="00B935DF">
        <w:t>"substantial" deviation</w:t>
      </w:r>
      <w:r>
        <w:t xml:space="preserve"> or violation </w:t>
      </w:r>
    </w:p>
    <w:p w:rsidR="00266865" w:rsidRDefault="00266865" w:rsidP="002A0820">
      <w:pPr>
        <w:pStyle w:val="ListParagraph"/>
        <w:numPr>
          <w:ilvl w:val="0"/>
          <w:numId w:val="64"/>
        </w:numPr>
        <w:spacing w:after="200"/>
      </w:pPr>
      <w:r>
        <w:t xml:space="preserve">the insertion of the </w:t>
      </w:r>
      <w:r w:rsidRPr="00B935DF">
        <w:t>word "prior" before "knowledge" in par 206</w:t>
      </w:r>
      <w:r>
        <w:t xml:space="preserve"> </w:t>
      </w:r>
    </w:p>
    <w:p w:rsidR="002A0820" w:rsidRDefault="002A0820" w:rsidP="002A0820">
      <w:pPr>
        <w:pStyle w:val="ListParagraph"/>
        <w:numPr>
          <w:ilvl w:val="0"/>
          <w:numId w:val="64"/>
        </w:numPr>
        <w:spacing w:after="200"/>
      </w:pPr>
      <w:proofErr w:type="gramStart"/>
      <w:r>
        <w:t>greater</w:t>
      </w:r>
      <w:proofErr w:type="gramEnd"/>
      <w:r>
        <w:t xml:space="preserve"> clarity in the SOPs that deviations and violations should not occur, and that all fraud or misconduct should be reported to the HDEC.</w:t>
      </w:r>
    </w:p>
    <w:p w:rsidR="00043CEF" w:rsidRDefault="002A0820" w:rsidP="002A0820">
      <w:pPr>
        <w:spacing w:after="200"/>
        <w:contextualSpacing/>
      </w:pPr>
      <w:proofErr w:type="gramStart"/>
      <w:r>
        <w:rPr>
          <w:b/>
        </w:rPr>
        <w:t>Final reports.</w:t>
      </w:r>
      <w:proofErr w:type="gramEnd"/>
      <w:r>
        <w:t xml:space="preserve">  Four submitters commented on the draft SOPs’ provisions on final reports.  Two submitters considered that final reports ought to be required for all studies, and that HDECs should not simply close studies where they had not been received.  Others noted</w:t>
      </w:r>
      <w:r w:rsidR="00043CEF">
        <w:t xml:space="preserve"> </w:t>
      </w:r>
      <w:r>
        <w:t xml:space="preserve">that </w:t>
      </w:r>
      <w:r w:rsidR="00043CEF" w:rsidRPr="006A03DE">
        <w:t>final report</w:t>
      </w:r>
      <w:r>
        <w:t>s for global studies would</w:t>
      </w:r>
      <w:r w:rsidR="00043CEF" w:rsidRPr="006A03DE">
        <w:t xml:space="preserve"> not be available until the conclusion of study</w:t>
      </w:r>
      <w:r w:rsidR="00043CEF">
        <w:t xml:space="preserve"> </w:t>
      </w:r>
      <w:r>
        <w:t>worldwide, which may not be within the proposed timelines for HDEC final reporting</w:t>
      </w:r>
      <w:r w:rsidR="00043CEF">
        <w:t>.</w:t>
      </w:r>
    </w:p>
    <w:p w:rsidR="00C20400" w:rsidRDefault="00C20400" w:rsidP="00B71650"/>
    <w:p w:rsidR="00377655" w:rsidRDefault="00377655" w:rsidP="00377655">
      <w:pPr>
        <w:pStyle w:val="Heading2"/>
      </w:pPr>
      <w:bookmarkStart w:id="28" w:name="_Toc319588557"/>
      <w:bookmarkStart w:id="29" w:name="_Toc324258584"/>
      <w:r>
        <w:t>Section 13: HDEC review of tissue banks</w:t>
      </w:r>
      <w:bookmarkEnd w:id="28"/>
      <w:bookmarkEnd w:id="29"/>
    </w:p>
    <w:p w:rsidR="00294D2E" w:rsidRDefault="00294D2E" w:rsidP="00377655"/>
    <w:p w:rsidR="00294D2E" w:rsidRDefault="00294D2E" w:rsidP="00377655">
      <w:r>
        <w:rPr>
          <w:noProof/>
          <w:lang w:eastAsia="en-NZ"/>
        </w:rPr>
        <w:drawing>
          <wp:inline distT="0" distB="0" distL="0" distR="0" wp14:anchorId="0A7CD5CC" wp14:editId="7222B2B9">
            <wp:extent cx="5727700" cy="1524000"/>
            <wp:effectExtent l="0" t="0" r="25400" b="190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4D2E" w:rsidRDefault="00294D2E" w:rsidP="00377655"/>
    <w:p w:rsidR="00377655" w:rsidRDefault="00377655" w:rsidP="00377655">
      <w:r>
        <w:t xml:space="preserve">Seven respondents </w:t>
      </w:r>
      <w:r w:rsidR="00294D2E">
        <w:t>commented on this section of the draft SOPs.</w:t>
      </w:r>
    </w:p>
    <w:p w:rsidR="00377655" w:rsidRDefault="00377655" w:rsidP="00377655"/>
    <w:p w:rsidR="00377655" w:rsidRDefault="00294D2E" w:rsidP="00294D2E">
      <w:proofErr w:type="gramStart"/>
      <w:r>
        <w:rPr>
          <w:b/>
        </w:rPr>
        <w:t>Cultural issues.</w:t>
      </w:r>
      <w:proofErr w:type="gramEnd"/>
      <w:r>
        <w:rPr>
          <w:b/>
        </w:rPr>
        <w:t xml:space="preserve">  </w:t>
      </w:r>
      <w:r>
        <w:t>Three respondents</w:t>
      </w:r>
      <w:r w:rsidR="00377655">
        <w:t xml:space="preserve"> were concerned that the draft SOPs </w:t>
      </w:r>
      <w:r>
        <w:t xml:space="preserve">did not clearly require HDECs to </w:t>
      </w:r>
      <w:r w:rsidR="00377655">
        <w:t xml:space="preserve">give </w:t>
      </w:r>
      <w:r>
        <w:t xml:space="preserve">adequate </w:t>
      </w:r>
      <w:r w:rsidR="00377655">
        <w:t xml:space="preserve">consideration to cultural issues around tissue collection and storage, particularly in relation to Maori </w:t>
      </w:r>
      <w:proofErr w:type="spellStart"/>
      <w:r w:rsidR="00377655">
        <w:t>tikanga</w:t>
      </w:r>
      <w:proofErr w:type="spellEnd"/>
      <w:r w:rsidR="00377655">
        <w:t xml:space="preserve">.  </w:t>
      </w:r>
    </w:p>
    <w:p w:rsidR="00377655" w:rsidRDefault="00377655" w:rsidP="00377655">
      <w:pPr>
        <w:pStyle w:val="ListParagraph"/>
      </w:pPr>
    </w:p>
    <w:p w:rsidR="00377655" w:rsidRDefault="00377655" w:rsidP="00377655">
      <w:pPr>
        <w:pStyle w:val="Quote"/>
      </w:pPr>
      <w:r>
        <w:t>“</w:t>
      </w:r>
      <w:r w:rsidRPr="002C32DC">
        <w:t xml:space="preserve">The Board is concerned that no consideration has been given to Māori cultural issues in regard to tissue banking in the review of HDEC. Tissue management, storage and retention have important </w:t>
      </w:r>
      <w:r>
        <w:t>cultural significance for Māori</w:t>
      </w:r>
      <w:r w:rsidRPr="002C32DC">
        <w:t xml:space="preserve">. How will the </w:t>
      </w:r>
      <w:proofErr w:type="spellStart"/>
      <w:r w:rsidRPr="002C32DC">
        <w:t>mana</w:t>
      </w:r>
      <w:proofErr w:type="spellEnd"/>
      <w:r w:rsidRPr="002C32DC">
        <w:t xml:space="preserve"> of Māori be safeguarded to ensure cultural safety is actively addressed?</w:t>
      </w:r>
      <w:r>
        <w:t>” (22, Maori Review Office)</w:t>
      </w:r>
    </w:p>
    <w:p w:rsidR="00377655" w:rsidRDefault="00377655" w:rsidP="00377655">
      <w:pPr>
        <w:pStyle w:val="ListParagraph"/>
      </w:pPr>
    </w:p>
    <w:p w:rsidR="00294D2E" w:rsidRDefault="00294D2E" w:rsidP="00294D2E">
      <w:proofErr w:type="gramStart"/>
      <w:r>
        <w:rPr>
          <w:b/>
        </w:rPr>
        <w:t>Other.</w:t>
      </w:r>
      <w:proofErr w:type="gramEnd"/>
      <w:r>
        <w:t xml:space="preserve">  </w:t>
      </w:r>
      <w:r w:rsidR="00377655">
        <w:t xml:space="preserve">Two </w:t>
      </w:r>
      <w:r>
        <w:t>submitters</w:t>
      </w:r>
      <w:r w:rsidR="00377655">
        <w:t xml:space="preserve"> felt that </w:t>
      </w:r>
      <w:r>
        <w:t xml:space="preserve">the SOPs should be amended to require </w:t>
      </w:r>
      <w:r w:rsidR="00377655">
        <w:t xml:space="preserve">HDEC review for the establishment and management of </w:t>
      </w:r>
      <w:r>
        <w:rPr>
          <w:i/>
        </w:rPr>
        <w:t xml:space="preserve">all </w:t>
      </w:r>
      <w:r w:rsidR="00377655">
        <w:t>new tissue banks.</w:t>
      </w:r>
      <w:r>
        <w:t xml:space="preserve">  Other comments suggested a need for:</w:t>
      </w:r>
    </w:p>
    <w:p w:rsidR="00294D2E" w:rsidRDefault="00294D2E" w:rsidP="00294D2E"/>
    <w:p w:rsidR="00294D2E" w:rsidRDefault="00294D2E" w:rsidP="00294D2E">
      <w:pPr>
        <w:pStyle w:val="ListParagraph"/>
        <w:numPr>
          <w:ilvl w:val="0"/>
          <w:numId w:val="64"/>
        </w:numPr>
      </w:pPr>
      <w:r>
        <w:t>clarification of what might constitute appropriate peer review for studies using banked tissue</w:t>
      </w:r>
    </w:p>
    <w:p w:rsidR="00377655" w:rsidRDefault="00294D2E" w:rsidP="00294D2E">
      <w:pPr>
        <w:pStyle w:val="ListParagraph"/>
        <w:numPr>
          <w:ilvl w:val="0"/>
          <w:numId w:val="64"/>
        </w:numPr>
      </w:pPr>
      <w:r>
        <w:t>standard policies for all tissue banks, including a requirement that tissue not be used without consent</w:t>
      </w:r>
    </w:p>
    <w:p w:rsidR="00294D2E" w:rsidRDefault="00294D2E" w:rsidP="00294D2E">
      <w:pPr>
        <w:pStyle w:val="ListParagraph"/>
        <w:numPr>
          <w:ilvl w:val="0"/>
          <w:numId w:val="64"/>
        </w:numPr>
      </w:pPr>
      <w:r>
        <w:t>specific retention timeframes for tissue and associated information</w:t>
      </w:r>
    </w:p>
    <w:p w:rsidR="00377655" w:rsidRDefault="00294D2E" w:rsidP="00377655">
      <w:pPr>
        <w:pStyle w:val="ListParagraph"/>
        <w:numPr>
          <w:ilvl w:val="0"/>
          <w:numId w:val="64"/>
        </w:numPr>
      </w:pPr>
      <w:proofErr w:type="gramStart"/>
      <w:r>
        <w:t>a</w:t>
      </w:r>
      <w:proofErr w:type="gramEnd"/>
      <w:r>
        <w:t xml:space="preserve"> national registry of tissue banks in New Zealand.</w:t>
      </w:r>
    </w:p>
    <w:p w:rsidR="003C1EFF" w:rsidRDefault="003C1EFF">
      <w:pPr>
        <w:spacing w:after="200" w:line="276" w:lineRule="auto"/>
        <w:rPr>
          <w:rFonts w:asciiTheme="majorHAnsi" w:eastAsiaTheme="majorEastAsia" w:hAnsiTheme="majorHAnsi" w:cstheme="majorBidi"/>
          <w:b/>
          <w:bCs/>
          <w:color w:val="365F91" w:themeColor="accent1" w:themeShade="BF"/>
          <w:sz w:val="36"/>
          <w:szCs w:val="32"/>
        </w:rPr>
      </w:pPr>
    </w:p>
    <w:p w:rsidR="00266865" w:rsidRDefault="00266865">
      <w:pPr>
        <w:spacing w:after="200" w:line="276" w:lineRule="auto"/>
        <w:rPr>
          <w:rFonts w:asciiTheme="majorHAnsi" w:eastAsiaTheme="majorEastAsia" w:hAnsiTheme="majorHAnsi" w:cstheme="majorBidi"/>
          <w:b/>
          <w:bCs/>
          <w:color w:val="365F91" w:themeColor="accent1" w:themeShade="BF"/>
          <w:sz w:val="36"/>
          <w:szCs w:val="32"/>
        </w:rPr>
      </w:pPr>
      <w:r>
        <w:br w:type="page"/>
      </w:r>
    </w:p>
    <w:p w:rsidR="003C1EFF" w:rsidRPr="00453AA5" w:rsidRDefault="004465E1" w:rsidP="00266865">
      <w:pPr>
        <w:pStyle w:val="Heading1"/>
        <w:numPr>
          <w:ilvl w:val="0"/>
          <w:numId w:val="10"/>
        </w:numPr>
        <w:ind w:left="360"/>
      </w:pPr>
      <w:bookmarkStart w:id="30" w:name="_Toc318890046"/>
      <w:bookmarkStart w:id="31" w:name="_Toc319588558"/>
      <w:bookmarkStart w:id="32" w:name="_Toc324258585"/>
      <w:r>
        <w:t>Feedback</w:t>
      </w:r>
      <w:r w:rsidR="003C1EFF" w:rsidRPr="00453AA5">
        <w:t xml:space="preserve"> </w:t>
      </w:r>
      <w:r w:rsidR="00F04AF8">
        <w:t>on</w:t>
      </w:r>
      <w:r w:rsidR="003C1EFF" w:rsidRPr="00453AA5">
        <w:t xml:space="preserve"> draft HDEC application form</w:t>
      </w:r>
      <w:bookmarkEnd w:id="30"/>
      <w:bookmarkEnd w:id="31"/>
      <w:bookmarkEnd w:id="32"/>
    </w:p>
    <w:p w:rsidR="00294D2E" w:rsidRDefault="00294D2E" w:rsidP="003C1EFF">
      <w:bookmarkStart w:id="33" w:name="_Toc319588559"/>
    </w:p>
    <w:p w:rsidR="00294D2E" w:rsidRDefault="00294D2E" w:rsidP="003C1EFF">
      <w:r>
        <w:rPr>
          <w:noProof/>
          <w:lang w:eastAsia="en-NZ"/>
        </w:rPr>
        <w:drawing>
          <wp:inline distT="0" distB="0" distL="0" distR="0" wp14:anchorId="382F4537" wp14:editId="087F18F0">
            <wp:extent cx="5727700" cy="1524000"/>
            <wp:effectExtent l="0" t="0" r="25400"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4D2E" w:rsidRDefault="00294D2E" w:rsidP="003C1EFF"/>
    <w:p w:rsidR="002A0820" w:rsidRDefault="003C1EFF" w:rsidP="003C1EFF">
      <w:r w:rsidRPr="00293D7E">
        <w:t xml:space="preserve">Thirty four respondents </w:t>
      </w:r>
      <w:r w:rsidR="00294D2E">
        <w:t>commented</w:t>
      </w:r>
      <w:r>
        <w:t xml:space="preserve"> on the draft application form.</w:t>
      </w:r>
      <w:bookmarkEnd w:id="33"/>
      <w:r w:rsidR="00D9485B">
        <w:t xml:space="preserve"> </w:t>
      </w:r>
    </w:p>
    <w:p w:rsidR="003C1EFF" w:rsidRPr="00453AA5" w:rsidRDefault="003C1EFF" w:rsidP="003C1EFF">
      <w:pPr>
        <w:pStyle w:val="Heading2"/>
      </w:pPr>
      <w:bookmarkStart w:id="34" w:name="_Toc324258586"/>
      <w:bookmarkStart w:id="35" w:name="_Toc319588560"/>
      <w:r w:rsidRPr="00453AA5">
        <w:t>Overall comments</w:t>
      </w:r>
      <w:bookmarkEnd w:id="34"/>
      <w:r w:rsidRPr="00453AA5">
        <w:t xml:space="preserve"> </w:t>
      </w:r>
      <w:bookmarkEnd w:id="35"/>
    </w:p>
    <w:p w:rsidR="008B4EAD" w:rsidRDefault="002A0820" w:rsidP="003C1EFF">
      <w:r>
        <w:t>Tw</w:t>
      </w:r>
      <w:r w:rsidR="00D9485B">
        <w:t xml:space="preserve">enty-five respondents provided overall comments on the draft form.  </w:t>
      </w:r>
      <w:r w:rsidR="00CA4208">
        <w:t>Six of these respondents</w:t>
      </w:r>
      <w:r>
        <w:t xml:space="preserve"> expressed</w:t>
      </w:r>
      <w:r w:rsidR="0030495A">
        <w:t xml:space="preserve"> explicit</w:t>
      </w:r>
      <w:r>
        <w:t xml:space="preserve"> support for the </w:t>
      </w:r>
      <w:r w:rsidR="00CA4208">
        <w:t>draft form</w:t>
      </w:r>
      <w:r>
        <w:t xml:space="preserve">, and considered that </w:t>
      </w:r>
      <w:r w:rsidR="00CA4208">
        <w:t>it</w:t>
      </w:r>
      <w:r>
        <w:t xml:space="preserve"> would</w:t>
      </w:r>
      <w:r w:rsidR="00CA4208">
        <w:t xml:space="preserve"> be likely to</w:t>
      </w:r>
      <w:r>
        <w:t xml:space="preserve"> improve the process by making it simpler and more focussed on ethical issues.  </w:t>
      </w:r>
    </w:p>
    <w:p w:rsidR="008B4EAD" w:rsidRDefault="008B4EAD" w:rsidP="003C1EFF"/>
    <w:p w:rsidR="008B4EAD" w:rsidRPr="008B4EAD" w:rsidRDefault="008B4EAD" w:rsidP="008B4EAD">
      <w:pPr>
        <w:ind w:left="720"/>
        <w:rPr>
          <w:rFonts w:eastAsia="Times New Roman" w:cs="Arial"/>
          <w:i/>
          <w:color w:val="000000"/>
          <w:sz w:val="20"/>
          <w:szCs w:val="20"/>
          <w:lang w:val="en-AU" w:eastAsia="en-NZ"/>
        </w:rPr>
      </w:pPr>
      <w:r>
        <w:rPr>
          <w:rFonts w:eastAsia="Times New Roman" w:cs="Arial"/>
          <w:i/>
          <w:color w:val="000000"/>
          <w:sz w:val="20"/>
          <w:szCs w:val="20"/>
          <w:lang w:val="en-AU" w:eastAsia="en-NZ"/>
        </w:rPr>
        <w:t>“This appears to be a far clearer, fairer process which is more in line with overseas systems particularly the Australian submission process.”</w:t>
      </w:r>
    </w:p>
    <w:p w:rsidR="008B4EAD" w:rsidRDefault="008B4EAD" w:rsidP="003C1EFF"/>
    <w:p w:rsidR="002A0820" w:rsidRDefault="002A0820" w:rsidP="003C1EFF">
      <w:r>
        <w:t xml:space="preserve">However, three respondents thought that the draft form would be unlikely to significantly </w:t>
      </w:r>
      <w:r w:rsidR="00CA4208">
        <w:t>improve the HDEC review process, while others considered that it would not be appropriate for all types of research (including qualitative research or research on health services providers).</w:t>
      </w:r>
    </w:p>
    <w:p w:rsidR="0030495A" w:rsidRDefault="0030495A" w:rsidP="003C1EFF"/>
    <w:p w:rsidR="0030495A" w:rsidRDefault="00D24976" w:rsidP="00D24976">
      <w:pPr>
        <w:ind w:left="720"/>
      </w:pPr>
      <w:r>
        <w:rPr>
          <w:rFonts w:eastAsia="Times New Roman" w:cs="Arial"/>
          <w:i/>
          <w:color w:val="000000"/>
          <w:sz w:val="20"/>
          <w:szCs w:val="20"/>
          <w:lang w:val="en-AU" w:eastAsia="en-NZ"/>
        </w:rPr>
        <w:t>“We […] are broadly content with the new application form, though we are unconvinced that this is a matter where all that much positive change will be affected.</w:t>
      </w:r>
      <w:r w:rsidR="003A0F72">
        <w:rPr>
          <w:rFonts w:eastAsia="Times New Roman" w:cs="Arial"/>
          <w:i/>
          <w:color w:val="000000"/>
          <w:sz w:val="20"/>
          <w:szCs w:val="20"/>
          <w:lang w:val="en-AU" w:eastAsia="en-NZ"/>
        </w:rPr>
        <w:t>”</w:t>
      </w:r>
    </w:p>
    <w:p w:rsidR="00CA4208" w:rsidRDefault="00CA4208" w:rsidP="003C1EFF"/>
    <w:p w:rsidR="00CA4208" w:rsidRDefault="00CA4208" w:rsidP="00CA4208">
      <w:r>
        <w:t>Several submitters suggested ways in which the form could be improved, including</w:t>
      </w:r>
      <w:r w:rsidR="000F15B2">
        <w:t>:</w:t>
      </w:r>
      <w:r>
        <w:t xml:space="preserve"> making better use of colour and tone to make the form more user-friendly for people with visual impairments</w:t>
      </w:r>
      <w:r w:rsidR="000F15B2">
        <w:t>;</w:t>
      </w:r>
      <w:r>
        <w:t xml:space="preserve"> </w:t>
      </w:r>
      <w:r w:rsidR="000F15B2">
        <w:t xml:space="preserve">using a simpler numbering system for the form’s sections; and </w:t>
      </w:r>
      <w:r>
        <w:t xml:space="preserve">replacing the “four principles” with those in the current </w:t>
      </w:r>
      <w:r w:rsidRPr="00CA4208">
        <w:rPr>
          <w:i/>
        </w:rPr>
        <w:t>Operational Standard</w:t>
      </w:r>
      <w:r>
        <w:t xml:space="preserve"> and NEAC guidelines</w:t>
      </w:r>
      <w:r w:rsidR="000F15B2">
        <w:t xml:space="preserve">, plus the three Treaty principles. </w:t>
      </w:r>
      <w:r w:rsidR="00D9485B">
        <w:t xml:space="preserve"> Other submitters suggested that terminology in the form be amended for consistency with international good clinical practice guidelines.</w:t>
      </w:r>
    </w:p>
    <w:p w:rsidR="00CA4208" w:rsidRDefault="00CA4208" w:rsidP="003C1EFF"/>
    <w:p w:rsidR="00CA4208" w:rsidRDefault="00CA4208" w:rsidP="000F15B2">
      <w:r>
        <w:t>Other overall comments</w:t>
      </w:r>
      <w:r w:rsidR="00D9485B">
        <w:t xml:space="preserve"> on the draft form</w:t>
      </w:r>
      <w:r>
        <w:t xml:space="preserve"> included:</w:t>
      </w:r>
      <w:r w:rsidR="000F15B2">
        <w:t xml:space="preserve"> </w:t>
      </w:r>
      <w:r>
        <w:t xml:space="preserve">detailed suggestions around training and support for the online application process, including online tutorials, 0800 phone numbers, </w:t>
      </w:r>
      <w:r w:rsidR="00D9485B">
        <w:t xml:space="preserve">tool tips, hyperlinks, </w:t>
      </w:r>
      <w:r>
        <w:t>and a</w:t>
      </w:r>
      <w:r w:rsidR="00D9485B">
        <w:t>n appropriate</w:t>
      </w:r>
      <w:r>
        <w:t xml:space="preserve"> lead-in time</w:t>
      </w:r>
      <w:r w:rsidR="000F15B2">
        <w:t xml:space="preserve">; </w:t>
      </w:r>
      <w:r>
        <w:t xml:space="preserve">concern at the </w:t>
      </w:r>
      <w:r w:rsidR="00D9485B">
        <w:t xml:space="preserve">brief </w:t>
      </w:r>
      <w:r>
        <w:t>word limits proposed for some questions</w:t>
      </w:r>
      <w:r w:rsidR="000F15B2">
        <w:t xml:space="preserve">; </w:t>
      </w:r>
      <w:r>
        <w:t>the need to ensure the form and app</w:t>
      </w:r>
      <w:r w:rsidR="00D9485B">
        <w:t>lication process were</w:t>
      </w:r>
      <w:r>
        <w:t xml:space="preserve"> accessible to localities</w:t>
      </w:r>
      <w:r w:rsidR="000F15B2">
        <w:t xml:space="preserve">; and </w:t>
      </w:r>
      <w:r>
        <w:t>a need to strengthen Treaty provisions of the form.</w:t>
      </w:r>
    </w:p>
    <w:p w:rsidR="003C1EFF" w:rsidRPr="00453AA5" w:rsidRDefault="00D9485B" w:rsidP="003C1EFF">
      <w:pPr>
        <w:pStyle w:val="Heading2"/>
      </w:pPr>
      <w:bookmarkStart w:id="36" w:name="_Toc319588561"/>
      <w:bookmarkStart w:id="37" w:name="_Toc324258587"/>
      <w:r>
        <w:t>X – Administrative s</w:t>
      </w:r>
      <w:r w:rsidR="003C1EFF" w:rsidRPr="00453AA5">
        <w:t>ection</w:t>
      </w:r>
      <w:bookmarkEnd w:id="36"/>
      <w:bookmarkEnd w:id="37"/>
    </w:p>
    <w:p w:rsidR="000F15B2" w:rsidRDefault="000F15B2" w:rsidP="003C1EFF">
      <w:r>
        <w:t xml:space="preserve">Sixteen submitters commented on this section, with most suggesting minor changes to the </w:t>
      </w:r>
      <w:r w:rsidR="00F8271F">
        <w:t xml:space="preserve">wording </w:t>
      </w:r>
      <w:r w:rsidR="00D9485B">
        <w:t xml:space="preserve">or order </w:t>
      </w:r>
      <w:r w:rsidR="00F8271F">
        <w:t xml:space="preserve">of </w:t>
      </w:r>
      <w:r>
        <w:t>questions.</w:t>
      </w:r>
    </w:p>
    <w:p w:rsidR="000F15B2" w:rsidRDefault="000F15B2" w:rsidP="003C1EFF"/>
    <w:p w:rsidR="003C1EFF" w:rsidRDefault="00091B42" w:rsidP="000F15B2">
      <w:r>
        <w:t xml:space="preserve">Two respondents </w:t>
      </w:r>
      <w:r w:rsidR="000F15B2">
        <w:t>thought</w:t>
      </w:r>
      <w:r>
        <w:t xml:space="preserve"> </w:t>
      </w:r>
      <w:r w:rsidR="00D9485B">
        <w:t>requiring</w:t>
      </w:r>
      <w:r w:rsidR="003C1EFF" w:rsidRPr="00453AA5">
        <w:t xml:space="preserve"> researchers to describe the object, phase and design of the study</w:t>
      </w:r>
      <w:r w:rsidR="00D9485B">
        <w:t xml:space="preserve"> (as per question x.2)</w:t>
      </w:r>
      <w:r w:rsidR="003C1EFF">
        <w:t xml:space="preserve"> </w:t>
      </w:r>
      <w:r w:rsidR="000F15B2">
        <w:t>c</w:t>
      </w:r>
      <w:r w:rsidR="003C1EFF">
        <w:t>ould result in studies being</w:t>
      </w:r>
      <w:r w:rsidR="003C1EFF" w:rsidRPr="00453AA5">
        <w:t xml:space="preserve"> “pigeon holed</w:t>
      </w:r>
      <w:r w:rsidR="00D9485B">
        <w:t>”, and</w:t>
      </w:r>
      <w:r w:rsidR="003C1EFF" w:rsidRPr="00453AA5">
        <w:t xml:space="preserve"> suggested that asking researchers to give a brief summary of the design </w:t>
      </w:r>
      <w:r w:rsidR="00D9485B">
        <w:t>might</w:t>
      </w:r>
      <w:r w:rsidR="003C1EFF" w:rsidRPr="00453AA5">
        <w:t xml:space="preserve"> give ethics committee</w:t>
      </w:r>
      <w:r>
        <w:t xml:space="preserve">s more meaningful information. </w:t>
      </w:r>
      <w:r w:rsidR="003C1EFF" w:rsidRPr="00453AA5">
        <w:t xml:space="preserve"> </w:t>
      </w:r>
      <w:r w:rsidR="00D9485B">
        <w:t xml:space="preserve">One respondent suggested </w:t>
      </w:r>
    </w:p>
    <w:p w:rsidR="000F15B2" w:rsidRPr="00453AA5" w:rsidRDefault="000F15B2" w:rsidP="000F15B2"/>
    <w:p w:rsidR="003C1EFF" w:rsidRPr="00453AA5" w:rsidRDefault="00091B42" w:rsidP="000F15B2">
      <w:r>
        <w:t xml:space="preserve">Two respondents </w:t>
      </w:r>
      <w:r w:rsidR="000F15B2">
        <w:t>considered</w:t>
      </w:r>
      <w:r>
        <w:t xml:space="preserve"> t</w:t>
      </w:r>
      <w:r w:rsidR="003C1EFF">
        <w:t xml:space="preserve">hat </w:t>
      </w:r>
      <w:r w:rsidR="003C1EFF" w:rsidRPr="00453AA5">
        <w:t>so</w:t>
      </w:r>
      <w:r w:rsidR="000F15B2">
        <w:t xml:space="preserve">me of the compulsory questions </w:t>
      </w:r>
      <w:r w:rsidR="00D9485B">
        <w:t>might</w:t>
      </w:r>
      <w:r w:rsidR="000F15B2">
        <w:t xml:space="preserve"> not be </w:t>
      </w:r>
      <w:r w:rsidR="003C1EFF" w:rsidRPr="00453AA5">
        <w:t xml:space="preserve">appropriate for all studies. </w:t>
      </w:r>
      <w:r>
        <w:t xml:space="preserve"> For example, </w:t>
      </w:r>
      <w:r w:rsidR="000F15B2">
        <w:t>some studies may not have a sponsor (question x.5), while others would not use their own, separate reference number (question x.1.3).</w:t>
      </w:r>
    </w:p>
    <w:p w:rsidR="00091B42" w:rsidRPr="00453AA5" w:rsidRDefault="00091B42" w:rsidP="00091B42">
      <w:pPr>
        <w:pStyle w:val="ListParagraph"/>
      </w:pPr>
    </w:p>
    <w:p w:rsidR="003C1EFF" w:rsidRPr="00453AA5" w:rsidRDefault="003C1EFF" w:rsidP="003C1EFF">
      <w:pPr>
        <w:pStyle w:val="Heading2"/>
      </w:pPr>
      <w:bookmarkStart w:id="38" w:name="_Toc324258588"/>
      <w:bookmarkStart w:id="39" w:name="_Toc319588562"/>
      <w:r w:rsidRPr="00453AA5">
        <w:t xml:space="preserve">B – Research </w:t>
      </w:r>
      <w:r w:rsidR="00D9485B" w:rsidRPr="00453AA5">
        <w:t>should produce benefits</w:t>
      </w:r>
      <w:bookmarkEnd w:id="38"/>
      <w:r w:rsidR="00D9485B" w:rsidRPr="00453AA5">
        <w:t xml:space="preserve"> </w:t>
      </w:r>
      <w:bookmarkEnd w:id="39"/>
    </w:p>
    <w:p w:rsidR="003C1EFF" w:rsidRPr="00453AA5" w:rsidRDefault="003C1EFF" w:rsidP="00D9485B">
      <w:r w:rsidRPr="00453AA5">
        <w:t>Nineteen respondents comment</w:t>
      </w:r>
      <w:r>
        <w:t>ed</w:t>
      </w:r>
      <w:r w:rsidRPr="00453AA5">
        <w:t xml:space="preserve"> on this section</w:t>
      </w:r>
      <w:r w:rsidR="00E8486B">
        <w:t xml:space="preserve">.  </w:t>
      </w:r>
      <w:proofErr w:type="gramStart"/>
      <w:r w:rsidR="003A0F72">
        <w:t xml:space="preserve">Many </w:t>
      </w:r>
      <w:r w:rsidR="00E8486B">
        <w:t xml:space="preserve"> of</w:t>
      </w:r>
      <w:proofErr w:type="gramEnd"/>
      <w:r w:rsidR="00E8486B">
        <w:t xml:space="preserve"> these comments were around</w:t>
      </w:r>
      <w:r w:rsidR="003A0F72">
        <w:t xml:space="preserve"> proposed word limits and</w:t>
      </w:r>
      <w:r w:rsidR="00E8486B">
        <w:t xml:space="preserve"> specific wording changes to questions</w:t>
      </w:r>
      <w:r w:rsidR="003A0F72">
        <w:t>.</w:t>
      </w:r>
      <w:r w:rsidR="00E8486B">
        <w:t xml:space="preserve"> </w:t>
      </w:r>
    </w:p>
    <w:p w:rsidR="00D9485B" w:rsidRDefault="00D9485B" w:rsidP="00D9485B"/>
    <w:p w:rsidR="003C1EFF" w:rsidRDefault="003C1EFF" w:rsidP="00D9485B">
      <w:r w:rsidRPr="00453AA5">
        <w:t>Four respondents noted the need for clarity around what constitutes suitable evidence of peer review</w:t>
      </w:r>
      <w:r w:rsidR="00D9485B">
        <w:t>, with one highlighting</w:t>
      </w:r>
      <w:r>
        <w:t xml:space="preserve"> that clarity is</w:t>
      </w:r>
      <w:r w:rsidRPr="00453AA5">
        <w:t xml:space="preserve"> particularly</w:t>
      </w:r>
      <w:r>
        <w:t xml:space="preserve"> needed</w:t>
      </w:r>
      <w:r w:rsidRPr="00453AA5">
        <w:t xml:space="preserve"> in regard to reviews that are conducted by experts within the research team or senior colleagues in the field.  </w:t>
      </w:r>
      <w:r w:rsidR="00D9485B">
        <w:t xml:space="preserve">(This point was also made in submissions on the draft SOPs.)  One </w:t>
      </w:r>
      <w:r w:rsidRPr="00453AA5">
        <w:t xml:space="preserve">respondent </w:t>
      </w:r>
      <w:r w:rsidR="00D9485B">
        <w:t>considered</w:t>
      </w:r>
      <w:r w:rsidRPr="00453AA5">
        <w:t xml:space="preserve"> that the “mere promise” of a future peer review is not appropriate</w:t>
      </w:r>
      <w:r w:rsidR="00D9485B">
        <w:t>,</w:t>
      </w:r>
      <w:r w:rsidRPr="00453AA5">
        <w:t xml:space="preserve"> and </w:t>
      </w:r>
      <w:r w:rsidR="00D9485B">
        <w:t>suggested</w:t>
      </w:r>
      <w:r w:rsidRPr="00453AA5">
        <w:t xml:space="preserve"> that a short report summari</w:t>
      </w:r>
      <w:r>
        <w:t>sing</w:t>
      </w:r>
      <w:r w:rsidRPr="00453AA5">
        <w:t xml:space="preserve"> the findings of the peer review and names the peer referee or organisation be submitted when </w:t>
      </w:r>
      <w:r>
        <w:t>an</w:t>
      </w:r>
      <w:r w:rsidRPr="00453AA5">
        <w:t xml:space="preserve"> application is made.</w:t>
      </w:r>
    </w:p>
    <w:p w:rsidR="00D9485B" w:rsidRDefault="00D9485B" w:rsidP="00D9485B"/>
    <w:p w:rsidR="00D9485B" w:rsidRPr="00453AA5" w:rsidRDefault="00D9485B" w:rsidP="00D9485B">
      <w:r>
        <w:t xml:space="preserve">Three respondents commented on the requirement to provide a </w:t>
      </w:r>
      <w:r w:rsidRPr="00453AA5">
        <w:t xml:space="preserve">Universal Trial Number (UTN), </w:t>
      </w:r>
      <w:r>
        <w:t xml:space="preserve">which they considered </w:t>
      </w:r>
      <w:r w:rsidRPr="00453AA5">
        <w:t xml:space="preserve">may not be applicable to some studies.  One respondent </w:t>
      </w:r>
      <w:r>
        <w:t>submitted</w:t>
      </w:r>
      <w:r w:rsidRPr="00453AA5">
        <w:t xml:space="preserve"> that</w:t>
      </w:r>
      <w:r>
        <w:t xml:space="preserve"> the requirement for a UTN would add</w:t>
      </w:r>
      <w:r w:rsidRPr="00453AA5">
        <w:t xml:space="preserve"> “unnecessary complexity”</w:t>
      </w:r>
      <w:r w:rsidR="00E8486B">
        <w:t xml:space="preserve"> to the HDEC submission process</w:t>
      </w:r>
      <w:r>
        <w:t>,</w:t>
      </w:r>
      <w:r w:rsidRPr="00453AA5">
        <w:t xml:space="preserve"> and </w:t>
      </w:r>
      <w:r w:rsidR="00E8486B">
        <w:t xml:space="preserve">submitted </w:t>
      </w:r>
      <w:r w:rsidRPr="00453AA5">
        <w:t xml:space="preserve">that registration </w:t>
      </w:r>
      <w:r w:rsidR="00E8486B">
        <w:t>was not necessary for</w:t>
      </w:r>
      <w:r w:rsidRPr="00453AA5">
        <w:t xml:space="preserve"> </w:t>
      </w:r>
      <w:r w:rsidR="00E8486B">
        <w:t>early-phase trials</w:t>
      </w:r>
      <w:r w:rsidRPr="00453AA5">
        <w:t xml:space="preserve">. </w:t>
      </w:r>
    </w:p>
    <w:p w:rsidR="00D9485B" w:rsidRPr="00453AA5" w:rsidRDefault="00D9485B" w:rsidP="00D9485B"/>
    <w:p w:rsidR="003C1EFF" w:rsidRDefault="00D9485B" w:rsidP="00D9485B">
      <w:r>
        <w:t>T</w:t>
      </w:r>
      <w:r w:rsidR="003C1EFF" w:rsidRPr="00453AA5">
        <w:t xml:space="preserve">wo respondents thought </w:t>
      </w:r>
      <w:r>
        <w:t>that this section of the document needed</w:t>
      </w:r>
      <w:r w:rsidR="003C1EFF" w:rsidRPr="00453AA5">
        <w:t xml:space="preserve"> </w:t>
      </w:r>
      <w:r w:rsidR="00E8486B">
        <w:t xml:space="preserve">to make </w:t>
      </w:r>
      <w:r w:rsidR="003C1EFF" w:rsidRPr="00453AA5">
        <w:t>clearer reference</w:t>
      </w:r>
      <w:r w:rsidR="003C1EFF">
        <w:t xml:space="preserve"> to</w:t>
      </w:r>
      <w:r w:rsidR="003C1EFF" w:rsidRPr="00453AA5">
        <w:t xml:space="preserve"> </w:t>
      </w:r>
      <w:r>
        <w:t>the benefits of research</w:t>
      </w:r>
      <w:r w:rsidR="009E4D1B">
        <w:t xml:space="preserve"> for Mā</w:t>
      </w:r>
      <w:r w:rsidR="003C1EFF" w:rsidRPr="00453AA5">
        <w:t xml:space="preserve">ori.  One respondent </w:t>
      </w:r>
      <w:r w:rsidR="003C1EFF">
        <w:t>suggested</w:t>
      </w:r>
      <w:r w:rsidR="003C1EFF" w:rsidRPr="00453AA5">
        <w:t xml:space="preserve"> that researchers should be required to demonstrate a consultative process regarding how any cultural risks to Maori have been identified and how they will be managed.</w:t>
      </w:r>
    </w:p>
    <w:p w:rsidR="003C1EFF" w:rsidRPr="00453AA5" w:rsidRDefault="003C1EFF" w:rsidP="003C1EFF">
      <w:pPr>
        <w:pStyle w:val="Heading2"/>
      </w:pPr>
      <w:bookmarkStart w:id="40" w:name="_Toc319588563"/>
      <w:bookmarkStart w:id="41" w:name="_Toc324258589"/>
      <w:r w:rsidRPr="00453AA5">
        <w:t xml:space="preserve">R – Research </w:t>
      </w:r>
      <w:r w:rsidR="00D9485B" w:rsidRPr="00453AA5">
        <w:t>should minimise and manage risk</w:t>
      </w:r>
      <w:bookmarkEnd w:id="40"/>
      <w:bookmarkEnd w:id="41"/>
    </w:p>
    <w:p w:rsidR="003C1EFF" w:rsidRPr="00453AA5" w:rsidRDefault="00BC70FA" w:rsidP="003C1EFF">
      <w:r>
        <w:t xml:space="preserve">Fourteen respondents </w:t>
      </w:r>
      <w:r w:rsidR="003C1EFF">
        <w:t xml:space="preserve">commented on this section of the </w:t>
      </w:r>
      <w:r w:rsidR="00E8486B">
        <w:t xml:space="preserve">draft </w:t>
      </w:r>
      <w:r w:rsidR="003C1EFF">
        <w:t>form</w:t>
      </w:r>
      <w:r w:rsidR="00E8486B">
        <w:t>, with most</w:t>
      </w:r>
      <w:r w:rsidR="003C1EFF" w:rsidRPr="00453AA5">
        <w:t xml:space="preserve"> comments offer</w:t>
      </w:r>
      <w:r w:rsidR="00E8486B">
        <w:t xml:space="preserve">ing </w:t>
      </w:r>
      <w:r w:rsidR="003C1EFF" w:rsidRPr="00453AA5">
        <w:t xml:space="preserve">suggestions for </w:t>
      </w:r>
      <w:r w:rsidR="003C1EFF">
        <w:t>minor changes</w:t>
      </w:r>
      <w:r w:rsidR="003C1EFF" w:rsidRPr="00453AA5">
        <w:t xml:space="preserve"> to questions.  </w:t>
      </w:r>
    </w:p>
    <w:p w:rsidR="003C1EFF" w:rsidRPr="00453AA5" w:rsidRDefault="003C1EFF" w:rsidP="003C1EFF"/>
    <w:p w:rsidR="003C1EFF" w:rsidRDefault="009E4D1B" w:rsidP="009E4D1B">
      <w:r>
        <w:t>A range of feedback was received on the draft form’s questions on monitoring of safety data</w:t>
      </w:r>
      <w:r w:rsidR="003C1EFF" w:rsidRPr="00453AA5">
        <w:t>.</w:t>
      </w:r>
      <w:r>
        <w:t xml:space="preserve">  </w:t>
      </w:r>
      <w:r w:rsidR="003C1EFF" w:rsidRPr="00453AA5">
        <w:t>Two respondents asked for clarification on how this will be done</w:t>
      </w:r>
      <w:r>
        <w:t>, while one</w:t>
      </w:r>
      <w:r w:rsidR="003C1EFF" w:rsidRPr="00453AA5">
        <w:t xml:space="preserve"> express</w:t>
      </w:r>
      <w:r>
        <w:t>ed</w:t>
      </w:r>
      <w:r w:rsidR="003C1EFF" w:rsidRPr="00453AA5">
        <w:t xml:space="preserve"> concern </w:t>
      </w:r>
      <w:r>
        <w:t>that the form did not require external data monitoring for all studies</w:t>
      </w:r>
      <w:r w:rsidR="003C1EFF" w:rsidRPr="00453AA5">
        <w:t>.</w:t>
      </w:r>
      <w:r>
        <w:t xml:space="preserve">  Others suggested that </w:t>
      </w:r>
      <w:r w:rsidR="003C1EFF" w:rsidRPr="00453AA5">
        <w:t xml:space="preserve">an independent New Zealand data safety monitoring committee </w:t>
      </w:r>
      <w:r>
        <w:t>should</w:t>
      </w:r>
      <w:r w:rsidR="003C1EFF" w:rsidRPr="00453AA5">
        <w:t xml:space="preserve"> be in place to ensure New Zealand participants are protected. </w:t>
      </w:r>
    </w:p>
    <w:p w:rsidR="009E4D1B" w:rsidRDefault="009E4D1B" w:rsidP="009E4D1B"/>
    <w:p w:rsidR="009E4D1B" w:rsidRDefault="009E4D1B" w:rsidP="009E4D1B">
      <w:r w:rsidRPr="00453AA5">
        <w:t xml:space="preserve">Five respondents commented on </w:t>
      </w:r>
      <w:r>
        <w:t>this section of the</w:t>
      </w:r>
      <w:r w:rsidRPr="00453AA5">
        <w:t xml:space="preserve"> form in relation to tissue banks</w:t>
      </w:r>
      <w:r>
        <w:t>, with one suggesting</w:t>
      </w:r>
      <w:r w:rsidRPr="00453AA5">
        <w:t xml:space="preserve"> that </w:t>
      </w:r>
      <w:r>
        <w:t>HDECs should be informed of</w:t>
      </w:r>
      <w:r w:rsidRPr="00453AA5">
        <w:t xml:space="preserve"> whether tissue sent over</w:t>
      </w:r>
      <w:r>
        <w:t>seas for diagnostic purposes could</w:t>
      </w:r>
      <w:r w:rsidRPr="00453AA5">
        <w:t xml:space="preserve"> be identified.  </w:t>
      </w:r>
    </w:p>
    <w:p w:rsidR="003C1EFF" w:rsidRPr="00453AA5" w:rsidRDefault="003C1EFF" w:rsidP="003C1EFF"/>
    <w:p w:rsidR="003C1EFF" w:rsidRPr="00453AA5" w:rsidRDefault="003C1EFF" w:rsidP="003C1EFF">
      <w:pPr>
        <w:pStyle w:val="Heading2"/>
      </w:pPr>
      <w:bookmarkStart w:id="42" w:name="_Toc319588564"/>
      <w:bookmarkStart w:id="43" w:name="_Toc324258590"/>
      <w:r w:rsidRPr="00453AA5">
        <w:t xml:space="preserve">P – Research </w:t>
      </w:r>
      <w:r w:rsidR="00D9485B">
        <w:t>should respect persons</w:t>
      </w:r>
      <w:r w:rsidR="00D9485B" w:rsidRPr="00453AA5">
        <w:t xml:space="preserve"> and populations</w:t>
      </w:r>
      <w:bookmarkEnd w:id="42"/>
      <w:bookmarkEnd w:id="43"/>
    </w:p>
    <w:p w:rsidR="003C1EFF" w:rsidRPr="00453AA5" w:rsidRDefault="003C1EFF" w:rsidP="003C1EFF">
      <w:r w:rsidRPr="00453AA5">
        <w:t xml:space="preserve">Sixteen </w:t>
      </w:r>
      <w:r>
        <w:t>respondents commented on this section</w:t>
      </w:r>
      <w:r w:rsidR="00E8486B">
        <w:t xml:space="preserve"> of the draft form</w:t>
      </w:r>
      <w:r w:rsidR="00AB12E6">
        <w:t>, suggesting a number of changes to question wording.</w:t>
      </w:r>
    </w:p>
    <w:p w:rsidR="00BC70FA" w:rsidRDefault="00BC70FA" w:rsidP="00BC70FA"/>
    <w:p w:rsidR="003C1EFF" w:rsidRDefault="003C1EFF" w:rsidP="00BC70FA">
      <w:r w:rsidRPr="00453AA5">
        <w:t xml:space="preserve">Eight </w:t>
      </w:r>
      <w:r w:rsidR="00AB12E6">
        <w:t xml:space="preserve">submitters commented on </w:t>
      </w:r>
      <w:r w:rsidR="009E4D1B">
        <w:t>section p.4</w:t>
      </w:r>
      <w:r w:rsidR="00AB12E6">
        <w:t xml:space="preserve"> of the draft form</w:t>
      </w:r>
      <w:r w:rsidR="009E4D1B">
        <w:t xml:space="preserve">, </w:t>
      </w:r>
      <w:r w:rsidR="00AB12E6">
        <w:t>which dealt with</w:t>
      </w:r>
      <w:r w:rsidR="009E4D1B">
        <w:t xml:space="preserve"> consultation with Māori and other populations</w:t>
      </w:r>
      <w:r w:rsidRPr="00453AA5">
        <w:t>.</w:t>
      </w:r>
      <w:r w:rsidR="009E4D1B">
        <w:t xml:space="preserve">  Comments included</w:t>
      </w:r>
      <w:r w:rsidR="00AB12E6">
        <w:t xml:space="preserve"> that</w:t>
      </w:r>
      <w:r w:rsidR="009E4D1B">
        <w:t>:</w:t>
      </w:r>
      <w:r w:rsidRPr="00453AA5">
        <w:t xml:space="preserve">  </w:t>
      </w:r>
    </w:p>
    <w:p w:rsidR="009E4D1B" w:rsidRDefault="009E4D1B" w:rsidP="009E4D1B">
      <w:pPr>
        <w:pStyle w:val="ListParagraph"/>
      </w:pPr>
    </w:p>
    <w:p w:rsidR="003C1EFF" w:rsidRDefault="003C1EFF" w:rsidP="009E4D1B">
      <w:pPr>
        <w:pStyle w:val="ListParagraph"/>
        <w:numPr>
          <w:ilvl w:val="0"/>
          <w:numId w:val="64"/>
        </w:numPr>
      </w:pPr>
      <w:r w:rsidRPr="00453AA5">
        <w:t xml:space="preserve">researchers </w:t>
      </w:r>
      <w:r w:rsidR="009E4D1B">
        <w:t xml:space="preserve">should </w:t>
      </w:r>
      <w:r w:rsidRPr="00453AA5">
        <w:t>be required to address culturally appropriate ways to</w:t>
      </w:r>
      <w:r w:rsidR="00BC70FA">
        <w:t xml:space="preserve"> r</w:t>
      </w:r>
      <w:r w:rsidRPr="00453AA5">
        <w:t>ecruit Maori into research</w:t>
      </w:r>
      <w:r>
        <w:t>,</w:t>
      </w:r>
      <w:r w:rsidR="00BC70FA">
        <w:t xml:space="preserve"> </w:t>
      </w:r>
      <w:r w:rsidRPr="00453AA5">
        <w:t>collect and store tissue samples</w:t>
      </w:r>
      <w:r>
        <w:t xml:space="preserve"> and</w:t>
      </w:r>
      <w:r w:rsidR="00BC70FA">
        <w:t xml:space="preserve"> disseminate findings</w:t>
      </w:r>
    </w:p>
    <w:p w:rsidR="009E4D1B" w:rsidRDefault="009E4D1B" w:rsidP="009E4D1B">
      <w:pPr>
        <w:pStyle w:val="ListParagraph"/>
        <w:numPr>
          <w:ilvl w:val="0"/>
          <w:numId w:val="64"/>
        </w:numPr>
      </w:pPr>
      <w:r w:rsidRPr="00453AA5">
        <w:t xml:space="preserve">question p4.1 </w:t>
      </w:r>
      <w:r>
        <w:t>could make</w:t>
      </w:r>
      <w:r w:rsidRPr="00453AA5">
        <w:t xml:space="preserve"> it easy for researchers not to carry out Maori </w:t>
      </w:r>
      <w:r>
        <w:t>c</w:t>
      </w:r>
      <w:r w:rsidRPr="00453AA5">
        <w:t>onsultation</w:t>
      </w:r>
    </w:p>
    <w:p w:rsidR="00AB12E6" w:rsidRDefault="00AB12E6" w:rsidP="009E4D1B">
      <w:pPr>
        <w:pStyle w:val="ListParagraph"/>
        <w:numPr>
          <w:ilvl w:val="0"/>
          <w:numId w:val="64"/>
        </w:numPr>
      </w:pPr>
      <w:r>
        <w:t xml:space="preserve">more clarity </w:t>
      </w:r>
      <w:r w:rsidR="0060502F">
        <w:t>is</w:t>
      </w:r>
      <w:r>
        <w:t xml:space="preserve"> required as to whether a letter from Māori review committees should be mandatory prior to submission, approval or commencement</w:t>
      </w:r>
      <w:r w:rsidR="0060502F">
        <w:t xml:space="preserve"> of a study</w:t>
      </w:r>
    </w:p>
    <w:p w:rsidR="00AB12E6" w:rsidRPr="00453AA5" w:rsidRDefault="00AB12E6" w:rsidP="009E4D1B">
      <w:pPr>
        <w:pStyle w:val="ListParagraph"/>
        <w:numPr>
          <w:ilvl w:val="0"/>
          <w:numId w:val="64"/>
        </w:numPr>
      </w:pPr>
      <w:proofErr w:type="gramStart"/>
      <w:r>
        <w:t>an</w:t>
      </w:r>
      <w:proofErr w:type="gramEnd"/>
      <w:r>
        <w:t xml:space="preserve"> explanation of “</w:t>
      </w:r>
      <w:proofErr w:type="spellStart"/>
      <w:r>
        <w:t>kaupapa</w:t>
      </w:r>
      <w:proofErr w:type="spellEnd"/>
      <w:r>
        <w:t xml:space="preserve"> Māori methodologies” should be provided.</w:t>
      </w:r>
    </w:p>
    <w:p w:rsidR="003C1EFF" w:rsidRPr="00453AA5" w:rsidRDefault="003C1EFF" w:rsidP="003C1EFF"/>
    <w:p w:rsidR="003C1EFF" w:rsidRDefault="003C1EFF" w:rsidP="0060502F">
      <w:r w:rsidRPr="00453AA5">
        <w:t>Seven respondents commented on</w:t>
      </w:r>
      <w:r>
        <w:t xml:space="preserve"> </w:t>
      </w:r>
      <w:r w:rsidR="0060502F">
        <w:t>the use of</w:t>
      </w:r>
      <w:r w:rsidRPr="00453AA5">
        <w:t xml:space="preserve"> the ‘FOG index’ at question p2.5</w:t>
      </w:r>
      <w:r w:rsidR="0060502F">
        <w:t xml:space="preserve"> as a proxy for readability</w:t>
      </w:r>
      <w:r w:rsidRPr="00453AA5">
        <w:t>.</w:t>
      </w:r>
      <w:r w:rsidR="0060502F">
        <w:t xml:space="preserve">  </w:t>
      </w:r>
      <w:r w:rsidRPr="00453AA5">
        <w:t xml:space="preserve">Five respondents requested </w:t>
      </w:r>
      <w:r w:rsidR="0060502F">
        <w:t xml:space="preserve">clearer </w:t>
      </w:r>
      <w:r w:rsidRPr="00453AA5">
        <w:t xml:space="preserve">guidance on what FOG requirements </w:t>
      </w:r>
      <w:r w:rsidR="0060502F">
        <w:t xml:space="preserve">will be </w:t>
      </w:r>
      <w:r w:rsidRPr="00453AA5">
        <w:t xml:space="preserve">acceptable to </w:t>
      </w:r>
      <w:r w:rsidR="0060502F">
        <w:t>HDECs</w:t>
      </w:r>
      <w:r>
        <w:t>,</w:t>
      </w:r>
      <w:r w:rsidRPr="00453AA5">
        <w:t xml:space="preserve"> </w:t>
      </w:r>
      <w:r w:rsidR="0060502F">
        <w:t>or</w:t>
      </w:r>
      <w:r w:rsidRPr="00453AA5">
        <w:t xml:space="preserve"> an explanation of why the data is being collected. </w:t>
      </w:r>
      <w:r w:rsidR="0060502F">
        <w:t xml:space="preserve"> </w:t>
      </w:r>
      <w:r w:rsidRPr="00453AA5">
        <w:t xml:space="preserve">Two respondents </w:t>
      </w:r>
      <w:r w:rsidR="0060502F">
        <w:t>considered that</w:t>
      </w:r>
      <w:r w:rsidRPr="00453AA5">
        <w:t xml:space="preserve"> the FOG index </w:t>
      </w:r>
      <w:r w:rsidR="00747698">
        <w:t>would not be</w:t>
      </w:r>
      <w:r w:rsidRPr="00453AA5">
        <w:t xml:space="preserve"> </w:t>
      </w:r>
      <w:r w:rsidR="0060502F">
        <w:t>a suitable</w:t>
      </w:r>
      <w:r w:rsidRPr="00453AA5">
        <w:t xml:space="preserve"> </w:t>
      </w:r>
      <w:r w:rsidR="0060502F">
        <w:t>tool for determining readability.</w:t>
      </w:r>
    </w:p>
    <w:p w:rsidR="003C1EFF" w:rsidRPr="00453AA5" w:rsidRDefault="003C1EFF" w:rsidP="003C1EFF">
      <w:pPr>
        <w:pStyle w:val="ListParagraph"/>
      </w:pPr>
    </w:p>
    <w:p w:rsidR="003C1EFF" w:rsidRPr="00453AA5" w:rsidRDefault="003C1EFF" w:rsidP="003C1EFF">
      <w:pPr>
        <w:pStyle w:val="Heading2"/>
      </w:pPr>
      <w:bookmarkStart w:id="44" w:name="_Toc319588565"/>
      <w:bookmarkStart w:id="45" w:name="_Toc324258591"/>
      <w:r w:rsidRPr="00453AA5">
        <w:t xml:space="preserve">F – Research </w:t>
      </w:r>
      <w:r w:rsidR="00D9485B" w:rsidRPr="00453AA5">
        <w:t>should be fair</w:t>
      </w:r>
      <w:bookmarkEnd w:id="44"/>
      <w:bookmarkEnd w:id="45"/>
    </w:p>
    <w:p w:rsidR="005239E1" w:rsidRDefault="003C1EFF" w:rsidP="003C1EFF">
      <w:r w:rsidRPr="00453AA5">
        <w:t xml:space="preserve">Thirteen </w:t>
      </w:r>
      <w:r>
        <w:t xml:space="preserve">respondents commented on </w:t>
      </w:r>
      <w:r w:rsidR="00E8486B">
        <w:t>this section of the draft</w:t>
      </w:r>
      <w:r>
        <w:t xml:space="preserve"> form.  </w:t>
      </w:r>
      <w:r w:rsidR="0060502F">
        <w:t xml:space="preserve">As with </w:t>
      </w:r>
      <w:r w:rsidR="00E8486B">
        <w:t>other sections</w:t>
      </w:r>
      <w:r>
        <w:t>,</w:t>
      </w:r>
      <w:r w:rsidRPr="00453AA5">
        <w:t xml:space="preserve"> many of the comments focused on </w:t>
      </w:r>
      <w:r>
        <w:t>minor changes</w:t>
      </w:r>
      <w:r w:rsidRPr="00453AA5">
        <w:t xml:space="preserve"> to the questions contained within the section.  </w:t>
      </w:r>
    </w:p>
    <w:p w:rsidR="005239E1" w:rsidRDefault="005239E1" w:rsidP="003C1EFF"/>
    <w:p w:rsidR="003C1EFF" w:rsidRDefault="005239E1" w:rsidP="003C1EFF">
      <w:r>
        <w:t>Other comments raised the need to:</w:t>
      </w:r>
    </w:p>
    <w:p w:rsidR="00747698" w:rsidRDefault="00747698" w:rsidP="003C1EFF"/>
    <w:p w:rsidR="00747698" w:rsidRDefault="00747698" w:rsidP="00747698">
      <w:pPr>
        <w:pStyle w:val="ListParagraph"/>
        <w:numPr>
          <w:ilvl w:val="0"/>
          <w:numId w:val="64"/>
        </w:numPr>
      </w:pPr>
      <w:r>
        <w:t>ascertain whether on-going treatment would be available to study participants</w:t>
      </w:r>
      <w:r w:rsidR="005239E1">
        <w:t>, and to develop clear guidance for this for clinical trials in New Zealand</w:t>
      </w:r>
    </w:p>
    <w:p w:rsidR="00747698" w:rsidRDefault="005239E1" w:rsidP="00747698">
      <w:pPr>
        <w:pStyle w:val="ListParagraph"/>
        <w:numPr>
          <w:ilvl w:val="0"/>
          <w:numId w:val="64"/>
        </w:numPr>
      </w:pPr>
      <w:r>
        <w:t xml:space="preserve">consider </w:t>
      </w:r>
      <w:r w:rsidR="00747698">
        <w:t xml:space="preserve">whether questions about placebo would more properly be </w:t>
      </w:r>
      <w:r w:rsidR="00F47647">
        <w:t>considered elsewhere in the form</w:t>
      </w:r>
      <w:r w:rsidR="0030495A">
        <w:t>’s structure</w:t>
      </w:r>
    </w:p>
    <w:p w:rsidR="00F47647" w:rsidRDefault="00F47647" w:rsidP="00F47647">
      <w:pPr>
        <w:pStyle w:val="ListParagraph"/>
        <w:numPr>
          <w:ilvl w:val="0"/>
          <w:numId w:val="64"/>
        </w:numPr>
      </w:pPr>
      <w:r>
        <w:t>provide a clearer definition of “best proven intervention”</w:t>
      </w:r>
    </w:p>
    <w:p w:rsidR="00F47647" w:rsidRDefault="005239E1" w:rsidP="00F47647">
      <w:pPr>
        <w:pStyle w:val="ListParagraph"/>
        <w:numPr>
          <w:ilvl w:val="0"/>
          <w:numId w:val="64"/>
        </w:numPr>
      </w:pPr>
      <w:r>
        <w:t>clarify why researchers are to be asked about the potential for adverse impact on services for non-participants</w:t>
      </w:r>
    </w:p>
    <w:p w:rsidR="00043CEF" w:rsidRDefault="005239E1" w:rsidP="00B71650">
      <w:pPr>
        <w:pStyle w:val="ListParagraph"/>
        <w:numPr>
          <w:ilvl w:val="0"/>
          <w:numId w:val="64"/>
        </w:numPr>
      </w:pPr>
      <w:proofErr w:type="gramStart"/>
      <w:r>
        <w:t>ensure</w:t>
      </w:r>
      <w:proofErr w:type="gramEnd"/>
      <w:r>
        <w:t xml:space="preserve"> that research adequately addressed issues of fairness for Māori.</w:t>
      </w:r>
    </w:p>
    <w:sectPr w:rsidR="00043CEF" w:rsidSect="00E86E44">
      <w:footerReference w:type="default" r:id="rId30"/>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4D" w:rsidRDefault="00DD5C4D" w:rsidP="00B71650">
      <w:r>
        <w:separator/>
      </w:r>
    </w:p>
  </w:endnote>
  <w:endnote w:type="continuationSeparator" w:id="0">
    <w:p w:rsidR="00DD5C4D" w:rsidRDefault="00DD5C4D" w:rsidP="00B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83391"/>
      <w:docPartObj>
        <w:docPartGallery w:val="Page Numbers (Bottom of Page)"/>
        <w:docPartUnique/>
      </w:docPartObj>
    </w:sdtPr>
    <w:sdtEndPr>
      <w:rPr>
        <w:noProof/>
      </w:rPr>
    </w:sdtEndPr>
    <w:sdtContent>
      <w:p w:rsidR="0084594D" w:rsidRPr="00E86E44" w:rsidRDefault="00E86E44" w:rsidP="00E86E44">
        <w:pPr>
          <w:pStyle w:val="Footer"/>
          <w:ind w:right="360"/>
          <w:rPr>
            <w:sz w:val="16"/>
          </w:rPr>
        </w:pPr>
        <w:r>
          <w:rPr>
            <w:i/>
            <w:sz w:val="16"/>
          </w:rPr>
          <w:t>Summary of submissions: draft SOPs for HDECs and draft application form</w:t>
        </w:r>
        <w:r>
          <w:rPr>
            <w:sz w:val="16"/>
          </w:rPr>
          <w:tab/>
        </w:r>
        <w:r>
          <w:rPr>
            <w:sz w:val="16"/>
          </w:rPr>
          <w:tab/>
        </w:r>
        <w:r w:rsidR="0084594D">
          <w:fldChar w:fldCharType="begin"/>
        </w:r>
        <w:r w:rsidR="0084594D">
          <w:instrText xml:space="preserve"> PAGE   \* MERGEFORMAT </w:instrText>
        </w:r>
        <w:r w:rsidR="0084594D">
          <w:fldChar w:fldCharType="separate"/>
        </w:r>
        <w:r w:rsidR="005D348D">
          <w:rPr>
            <w:noProof/>
          </w:rPr>
          <w:t>2</w:t>
        </w:r>
        <w:r w:rsidR="0084594D">
          <w:rPr>
            <w:noProof/>
          </w:rPr>
          <w:fldChar w:fldCharType="end"/>
        </w:r>
      </w:p>
    </w:sdtContent>
  </w:sdt>
  <w:p w:rsidR="0084594D" w:rsidRDefault="0084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4D" w:rsidRDefault="00DD5C4D" w:rsidP="00B71650">
      <w:r>
        <w:separator/>
      </w:r>
    </w:p>
  </w:footnote>
  <w:footnote w:type="continuationSeparator" w:id="0">
    <w:p w:rsidR="00DD5C4D" w:rsidRDefault="00DD5C4D" w:rsidP="00B7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nsid w:val="018B5952"/>
    <w:multiLevelType w:val="hybridMultilevel"/>
    <w:tmpl w:val="6FA23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0B5172"/>
    <w:multiLevelType w:val="hybridMultilevel"/>
    <w:tmpl w:val="60228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F82B7F"/>
    <w:multiLevelType w:val="hybridMultilevel"/>
    <w:tmpl w:val="EA241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F979BE"/>
    <w:multiLevelType w:val="hybridMultilevel"/>
    <w:tmpl w:val="803C0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E27348"/>
    <w:multiLevelType w:val="hybridMultilevel"/>
    <w:tmpl w:val="ACA4A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1A5CD8"/>
    <w:multiLevelType w:val="hybridMultilevel"/>
    <w:tmpl w:val="38989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6737D54"/>
    <w:multiLevelType w:val="hybridMultilevel"/>
    <w:tmpl w:val="5E16F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F54449"/>
    <w:multiLevelType w:val="hybridMultilevel"/>
    <w:tmpl w:val="2984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500C8A"/>
    <w:multiLevelType w:val="hybridMultilevel"/>
    <w:tmpl w:val="4A2CD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726987"/>
    <w:multiLevelType w:val="hybridMultilevel"/>
    <w:tmpl w:val="0A42C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FF6707"/>
    <w:multiLevelType w:val="hybridMultilevel"/>
    <w:tmpl w:val="1BDAE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2A4120"/>
    <w:multiLevelType w:val="hybridMultilevel"/>
    <w:tmpl w:val="986C044A"/>
    <w:lvl w:ilvl="0" w:tplc="BF420274">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7601CB"/>
    <w:multiLevelType w:val="hybridMultilevel"/>
    <w:tmpl w:val="B0F2D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1E25A9"/>
    <w:multiLevelType w:val="hybridMultilevel"/>
    <w:tmpl w:val="B096D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ED38F7"/>
    <w:multiLevelType w:val="hybridMultilevel"/>
    <w:tmpl w:val="4F4A3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148593E"/>
    <w:multiLevelType w:val="hybridMultilevel"/>
    <w:tmpl w:val="CB787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12686F"/>
    <w:multiLevelType w:val="hybridMultilevel"/>
    <w:tmpl w:val="64522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B720CF"/>
    <w:multiLevelType w:val="hybridMultilevel"/>
    <w:tmpl w:val="B9740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7DE7423"/>
    <w:multiLevelType w:val="hybridMultilevel"/>
    <w:tmpl w:val="11902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2510B8"/>
    <w:multiLevelType w:val="hybridMultilevel"/>
    <w:tmpl w:val="153C2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5C3329"/>
    <w:multiLevelType w:val="hybridMultilevel"/>
    <w:tmpl w:val="0AF8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D907655"/>
    <w:multiLevelType w:val="hybridMultilevel"/>
    <w:tmpl w:val="4C6C3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D9D0301"/>
    <w:multiLevelType w:val="hybridMultilevel"/>
    <w:tmpl w:val="08666A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EFC11DC"/>
    <w:multiLevelType w:val="hybridMultilevel"/>
    <w:tmpl w:val="F474B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0900B84"/>
    <w:multiLevelType w:val="hybridMultilevel"/>
    <w:tmpl w:val="11CCF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1145735"/>
    <w:multiLevelType w:val="hybridMultilevel"/>
    <w:tmpl w:val="F94C5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1DB3698"/>
    <w:multiLevelType w:val="hybridMultilevel"/>
    <w:tmpl w:val="5B32E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4762C24"/>
    <w:multiLevelType w:val="hybridMultilevel"/>
    <w:tmpl w:val="DE085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5133C0E"/>
    <w:multiLevelType w:val="hybridMultilevel"/>
    <w:tmpl w:val="58BEE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5910B4C"/>
    <w:multiLevelType w:val="hybridMultilevel"/>
    <w:tmpl w:val="C662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6C117F6"/>
    <w:multiLevelType w:val="hybridMultilevel"/>
    <w:tmpl w:val="39B8A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9284611"/>
    <w:multiLevelType w:val="hybridMultilevel"/>
    <w:tmpl w:val="8DAA5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AF96905"/>
    <w:multiLevelType w:val="hybridMultilevel"/>
    <w:tmpl w:val="C628A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B0257D2"/>
    <w:multiLevelType w:val="hybridMultilevel"/>
    <w:tmpl w:val="D0504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BDC6EBD"/>
    <w:multiLevelType w:val="hybridMultilevel"/>
    <w:tmpl w:val="551CA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CB74102"/>
    <w:multiLevelType w:val="hybridMultilevel"/>
    <w:tmpl w:val="08260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EC651BD"/>
    <w:multiLevelType w:val="hybridMultilevel"/>
    <w:tmpl w:val="FA6EE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09C2A6F"/>
    <w:multiLevelType w:val="hybridMultilevel"/>
    <w:tmpl w:val="24320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11F6556"/>
    <w:multiLevelType w:val="hybridMultilevel"/>
    <w:tmpl w:val="BFD4A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CA87320"/>
    <w:multiLevelType w:val="hybridMultilevel"/>
    <w:tmpl w:val="FEEE8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E69262B"/>
    <w:multiLevelType w:val="hybridMultilevel"/>
    <w:tmpl w:val="FBCA0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F4657E5"/>
    <w:multiLevelType w:val="hybridMultilevel"/>
    <w:tmpl w:val="6D942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48B62D7"/>
    <w:multiLevelType w:val="hybridMultilevel"/>
    <w:tmpl w:val="28885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5400AF6"/>
    <w:multiLevelType w:val="hybridMultilevel"/>
    <w:tmpl w:val="3F145022"/>
    <w:lvl w:ilvl="0" w:tplc="1409000F">
      <w:start w:val="1"/>
      <w:numFmt w:val="decimal"/>
      <w:lvlText w:val="%1."/>
      <w:lvlJc w:val="left"/>
      <w:pPr>
        <w:ind w:left="1514" w:hanging="360"/>
      </w:pPr>
      <w:rPr>
        <w:rFonts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45">
    <w:nsid w:val="656100FC"/>
    <w:multiLevelType w:val="hybridMultilevel"/>
    <w:tmpl w:val="DF5EC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6FC0F29"/>
    <w:multiLevelType w:val="hybridMultilevel"/>
    <w:tmpl w:val="3B021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98C69D2"/>
    <w:multiLevelType w:val="hybridMultilevel"/>
    <w:tmpl w:val="D4A0B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A114E08"/>
    <w:multiLevelType w:val="hybridMultilevel"/>
    <w:tmpl w:val="AFEEC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6B236F52"/>
    <w:multiLevelType w:val="hybridMultilevel"/>
    <w:tmpl w:val="D7DA6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B4910E6"/>
    <w:multiLevelType w:val="hybridMultilevel"/>
    <w:tmpl w:val="77F2F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BDE7B7A"/>
    <w:multiLevelType w:val="hybridMultilevel"/>
    <w:tmpl w:val="AD6C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6D3D0C4B"/>
    <w:multiLevelType w:val="hybridMultilevel"/>
    <w:tmpl w:val="85C41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DB16A3E"/>
    <w:multiLevelType w:val="hybridMultilevel"/>
    <w:tmpl w:val="25768A3E"/>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E6E4B93"/>
    <w:multiLevelType w:val="hybridMultilevel"/>
    <w:tmpl w:val="C4C8D866"/>
    <w:lvl w:ilvl="0" w:tplc="E2A8004C">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F473CD4"/>
    <w:multiLevelType w:val="hybridMultilevel"/>
    <w:tmpl w:val="92506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00B2255"/>
    <w:multiLevelType w:val="hybridMultilevel"/>
    <w:tmpl w:val="8E62F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702D2B32"/>
    <w:multiLevelType w:val="hybridMultilevel"/>
    <w:tmpl w:val="A260C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2C124A1"/>
    <w:multiLevelType w:val="hybridMultilevel"/>
    <w:tmpl w:val="16AAF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3E31131"/>
    <w:multiLevelType w:val="hybridMultilevel"/>
    <w:tmpl w:val="FBF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599377B"/>
    <w:multiLevelType w:val="hybridMultilevel"/>
    <w:tmpl w:val="362A5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76445001"/>
    <w:multiLevelType w:val="hybridMultilevel"/>
    <w:tmpl w:val="5CE89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774852E6"/>
    <w:multiLevelType w:val="hybridMultilevel"/>
    <w:tmpl w:val="009E1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788A0977"/>
    <w:multiLevelType w:val="hybridMultilevel"/>
    <w:tmpl w:val="7B480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9DB14E1"/>
    <w:multiLevelType w:val="hybridMultilevel"/>
    <w:tmpl w:val="DD7C5D94"/>
    <w:lvl w:ilvl="0" w:tplc="29D8BA68">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7FA771DD"/>
    <w:multiLevelType w:val="hybridMultilevel"/>
    <w:tmpl w:val="0FE04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53"/>
  </w:num>
  <w:num w:numId="4">
    <w:abstractNumId w:val="45"/>
  </w:num>
  <w:num w:numId="5">
    <w:abstractNumId w:val="43"/>
  </w:num>
  <w:num w:numId="6">
    <w:abstractNumId w:val="8"/>
  </w:num>
  <w:num w:numId="7">
    <w:abstractNumId w:val="34"/>
  </w:num>
  <w:num w:numId="8">
    <w:abstractNumId w:val="48"/>
  </w:num>
  <w:num w:numId="9">
    <w:abstractNumId w:val="21"/>
  </w:num>
  <w:num w:numId="10">
    <w:abstractNumId w:val="23"/>
  </w:num>
  <w:num w:numId="11">
    <w:abstractNumId w:val="5"/>
  </w:num>
  <w:num w:numId="12">
    <w:abstractNumId w:val="25"/>
  </w:num>
  <w:num w:numId="13">
    <w:abstractNumId w:val="60"/>
  </w:num>
  <w:num w:numId="14">
    <w:abstractNumId w:val="32"/>
  </w:num>
  <w:num w:numId="15">
    <w:abstractNumId w:val="39"/>
  </w:num>
  <w:num w:numId="16">
    <w:abstractNumId w:val="30"/>
  </w:num>
  <w:num w:numId="17">
    <w:abstractNumId w:val="11"/>
  </w:num>
  <w:num w:numId="18">
    <w:abstractNumId w:val="50"/>
  </w:num>
  <w:num w:numId="19">
    <w:abstractNumId w:val="13"/>
  </w:num>
  <w:num w:numId="20">
    <w:abstractNumId w:val="2"/>
  </w:num>
  <w:num w:numId="21">
    <w:abstractNumId w:val="27"/>
  </w:num>
  <w:num w:numId="22">
    <w:abstractNumId w:val="42"/>
  </w:num>
  <w:num w:numId="23">
    <w:abstractNumId w:val="1"/>
  </w:num>
  <w:num w:numId="24">
    <w:abstractNumId w:val="55"/>
  </w:num>
  <w:num w:numId="25">
    <w:abstractNumId w:val="19"/>
  </w:num>
  <w:num w:numId="26">
    <w:abstractNumId w:val="7"/>
  </w:num>
  <w:num w:numId="27">
    <w:abstractNumId w:val="37"/>
  </w:num>
  <w:num w:numId="28">
    <w:abstractNumId w:val="3"/>
  </w:num>
  <w:num w:numId="29">
    <w:abstractNumId w:val="24"/>
  </w:num>
  <w:num w:numId="30">
    <w:abstractNumId w:val="9"/>
  </w:num>
  <w:num w:numId="31">
    <w:abstractNumId w:val="28"/>
  </w:num>
  <w:num w:numId="32">
    <w:abstractNumId w:val="61"/>
  </w:num>
  <w:num w:numId="33">
    <w:abstractNumId w:val="52"/>
  </w:num>
  <w:num w:numId="34">
    <w:abstractNumId w:val="41"/>
  </w:num>
  <w:num w:numId="35">
    <w:abstractNumId w:val="47"/>
  </w:num>
  <w:num w:numId="36">
    <w:abstractNumId w:val="62"/>
  </w:num>
  <w:num w:numId="37">
    <w:abstractNumId w:val="58"/>
  </w:num>
  <w:num w:numId="38">
    <w:abstractNumId w:val="15"/>
  </w:num>
  <w:num w:numId="39">
    <w:abstractNumId w:val="51"/>
  </w:num>
  <w:num w:numId="40">
    <w:abstractNumId w:val="33"/>
  </w:num>
  <w:num w:numId="41">
    <w:abstractNumId w:val="63"/>
  </w:num>
  <w:num w:numId="42">
    <w:abstractNumId w:val="35"/>
  </w:num>
  <w:num w:numId="43">
    <w:abstractNumId w:val="57"/>
  </w:num>
  <w:num w:numId="44">
    <w:abstractNumId w:val="38"/>
  </w:num>
  <w:num w:numId="45">
    <w:abstractNumId w:val="36"/>
  </w:num>
  <w:num w:numId="46">
    <w:abstractNumId w:val="29"/>
  </w:num>
  <w:num w:numId="47">
    <w:abstractNumId w:val="49"/>
  </w:num>
  <w:num w:numId="48">
    <w:abstractNumId w:val="26"/>
  </w:num>
  <w:num w:numId="49">
    <w:abstractNumId w:val="17"/>
  </w:num>
  <w:num w:numId="50">
    <w:abstractNumId w:val="31"/>
  </w:num>
  <w:num w:numId="51">
    <w:abstractNumId w:val="6"/>
  </w:num>
  <w:num w:numId="52">
    <w:abstractNumId w:val="16"/>
  </w:num>
  <w:num w:numId="53">
    <w:abstractNumId w:val="4"/>
  </w:num>
  <w:num w:numId="54">
    <w:abstractNumId w:val="18"/>
  </w:num>
  <w:num w:numId="55">
    <w:abstractNumId w:val="20"/>
  </w:num>
  <w:num w:numId="56">
    <w:abstractNumId w:val="14"/>
  </w:num>
  <w:num w:numId="57">
    <w:abstractNumId w:val="10"/>
  </w:num>
  <w:num w:numId="58">
    <w:abstractNumId w:val="65"/>
  </w:num>
  <w:num w:numId="59">
    <w:abstractNumId w:val="56"/>
  </w:num>
  <w:num w:numId="60">
    <w:abstractNumId w:val="59"/>
  </w:num>
  <w:num w:numId="61">
    <w:abstractNumId w:val="40"/>
  </w:num>
  <w:num w:numId="62">
    <w:abstractNumId w:val="22"/>
  </w:num>
  <w:num w:numId="63">
    <w:abstractNumId w:val="64"/>
  </w:num>
  <w:num w:numId="64">
    <w:abstractNumId w:val="54"/>
  </w:num>
  <w:num w:numId="65">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50"/>
    <w:rsid w:val="00001532"/>
    <w:rsid w:val="00011276"/>
    <w:rsid w:val="00035B3E"/>
    <w:rsid w:val="00043CEF"/>
    <w:rsid w:val="000535E7"/>
    <w:rsid w:val="00060DFC"/>
    <w:rsid w:val="00091B42"/>
    <w:rsid w:val="00094713"/>
    <w:rsid w:val="000B7DC0"/>
    <w:rsid w:val="000D23FD"/>
    <w:rsid w:val="000E4C42"/>
    <w:rsid w:val="000E755C"/>
    <w:rsid w:val="000F0BFE"/>
    <w:rsid w:val="000F15B2"/>
    <w:rsid w:val="00102A6A"/>
    <w:rsid w:val="00136CF8"/>
    <w:rsid w:val="0014594F"/>
    <w:rsid w:val="00145A34"/>
    <w:rsid w:val="00194233"/>
    <w:rsid w:val="001B7022"/>
    <w:rsid w:val="001B7C75"/>
    <w:rsid w:val="001C2B63"/>
    <w:rsid w:val="00217675"/>
    <w:rsid w:val="00251F31"/>
    <w:rsid w:val="00257F02"/>
    <w:rsid w:val="00261A8B"/>
    <w:rsid w:val="00266865"/>
    <w:rsid w:val="002770C2"/>
    <w:rsid w:val="002919F9"/>
    <w:rsid w:val="002935A0"/>
    <w:rsid w:val="00294D2E"/>
    <w:rsid w:val="002A055E"/>
    <w:rsid w:val="002A0820"/>
    <w:rsid w:val="002A5A15"/>
    <w:rsid w:val="002C6D50"/>
    <w:rsid w:val="002D780F"/>
    <w:rsid w:val="002F6622"/>
    <w:rsid w:val="0030495A"/>
    <w:rsid w:val="00311517"/>
    <w:rsid w:val="00347F87"/>
    <w:rsid w:val="003775BB"/>
    <w:rsid w:val="00377655"/>
    <w:rsid w:val="00380F56"/>
    <w:rsid w:val="00387DC5"/>
    <w:rsid w:val="003924C3"/>
    <w:rsid w:val="00396741"/>
    <w:rsid w:val="003A0F72"/>
    <w:rsid w:val="003A48BE"/>
    <w:rsid w:val="003A76E9"/>
    <w:rsid w:val="003C1EFF"/>
    <w:rsid w:val="003D64AA"/>
    <w:rsid w:val="004131D0"/>
    <w:rsid w:val="00420E00"/>
    <w:rsid w:val="00427DD6"/>
    <w:rsid w:val="004422D4"/>
    <w:rsid w:val="00442461"/>
    <w:rsid w:val="004465E1"/>
    <w:rsid w:val="00460FDC"/>
    <w:rsid w:val="004A1BB7"/>
    <w:rsid w:val="004A7F6C"/>
    <w:rsid w:val="004D66C4"/>
    <w:rsid w:val="004F59ED"/>
    <w:rsid w:val="005156A2"/>
    <w:rsid w:val="005239E1"/>
    <w:rsid w:val="00547303"/>
    <w:rsid w:val="00577504"/>
    <w:rsid w:val="00577AC9"/>
    <w:rsid w:val="0058172D"/>
    <w:rsid w:val="00592053"/>
    <w:rsid w:val="005973CA"/>
    <w:rsid w:val="005A05B0"/>
    <w:rsid w:val="005C03AD"/>
    <w:rsid w:val="005D348D"/>
    <w:rsid w:val="005E4D14"/>
    <w:rsid w:val="0060502F"/>
    <w:rsid w:val="0061300C"/>
    <w:rsid w:val="00626903"/>
    <w:rsid w:val="0062754C"/>
    <w:rsid w:val="00643B60"/>
    <w:rsid w:val="00651048"/>
    <w:rsid w:val="00656BCB"/>
    <w:rsid w:val="00674DB8"/>
    <w:rsid w:val="006B4F7D"/>
    <w:rsid w:val="006C2358"/>
    <w:rsid w:val="006E660A"/>
    <w:rsid w:val="006E73CE"/>
    <w:rsid w:val="006F3263"/>
    <w:rsid w:val="00703161"/>
    <w:rsid w:val="007062BB"/>
    <w:rsid w:val="00711CC0"/>
    <w:rsid w:val="00717656"/>
    <w:rsid w:val="00737731"/>
    <w:rsid w:val="00747698"/>
    <w:rsid w:val="00750FF4"/>
    <w:rsid w:val="0076220A"/>
    <w:rsid w:val="007D6CB3"/>
    <w:rsid w:val="007E039D"/>
    <w:rsid w:val="007E7084"/>
    <w:rsid w:val="00836507"/>
    <w:rsid w:val="00840698"/>
    <w:rsid w:val="0084594D"/>
    <w:rsid w:val="00875B9F"/>
    <w:rsid w:val="008A5624"/>
    <w:rsid w:val="008B4EAD"/>
    <w:rsid w:val="008C447C"/>
    <w:rsid w:val="008D7C60"/>
    <w:rsid w:val="008E1A37"/>
    <w:rsid w:val="00901AA6"/>
    <w:rsid w:val="009112D6"/>
    <w:rsid w:val="009138C8"/>
    <w:rsid w:val="00943CC3"/>
    <w:rsid w:val="009866FE"/>
    <w:rsid w:val="009B6FD6"/>
    <w:rsid w:val="009C094A"/>
    <w:rsid w:val="009D17BD"/>
    <w:rsid w:val="009D2316"/>
    <w:rsid w:val="009E4D1B"/>
    <w:rsid w:val="009E618C"/>
    <w:rsid w:val="00A0314B"/>
    <w:rsid w:val="00A03EF7"/>
    <w:rsid w:val="00A061F4"/>
    <w:rsid w:val="00A27FD9"/>
    <w:rsid w:val="00A36D82"/>
    <w:rsid w:val="00A419F6"/>
    <w:rsid w:val="00A44DA5"/>
    <w:rsid w:val="00A7067C"/>
    <w:rsid w:val="00A72A6B"/>
    <w:rsid w:val="00A74C8B"/>
    <w:rsid w:val="00A94919"/>
    <w:rsid w:val="00AA2592"/>
    <w:rsid w:val="00AA7E28"/>
    <w:rsid w:val="00AB12E6"/>
    <w:rsid w:val="00AE6EAB"/>
    <w:rsid w:val="00AF3065"/>
    <w:rsid w:val="00AF7D9D"/>
    <w:rsid w:val="00B14B81"/>
    <w:rsid w:val="00B16966"/>
    <w:rsid w:val="00B67ED8"/>
    <w:rsid w:val="00B71650"/>
    <w:rsid w:val="00B82743"/>
    <w:rsid w:val="00B91CEB"/>
    <w:rsid w:val="00BC064F"/>
    <w:rsid w:val="00BC2A5A"/>
    <w:rsid w:val="00BC70FA"/>
    <w:rsid w:val="00BD55BB"/>
    <w:rsid w:val="00BF57B6"/>
    <w:rsid w:val="00C03350"/>
    <w:rsid w:val="00C20400"/>
    <w:rsid w:val="00C24D4D"/>
    <w:rsid w:val="00C44CB5"/>
    <w:rsid w:val="00C62E98"/>
    <w:rsid w:val="00C67D3C"/>
    <w:rsid w:val="00C76B46"/>
    <w:rsid w:val="00CA4208"/>
    <w:rsid w:val="00CC1D84"/>
    <w:rsid w:val="00D103B8"/>
    <w:rsid w:val="00D24976"/>
    <w:rsid w:val="00D25BB4"/>
    <w:rsid w:val="00D91472"/>
    <w:rsid w:val="00D9485B"/>
    <w:rsid w:val="00DA7991"/>
    <w:rsid w:val="00DD5C4D"/>
    <w:rsid w:val="00DD69A8"/>
    <w:rsid w:val="00E24D91"/>
    <w:rsid w:val="00E34CB2"/>
    <w:rsid w:val="00E42699"/>
    <w:rsid w:val="00E4695F"/>
    <w:rsid w:val="00E645BF"/>
    <w:rsid w:val="00E8486B"/>
    <w:rsid w:val="00E86E44"/>
    <w:rsid w:val="00E90D7E"/>
    <w:rsid w:val="00EC14CF"/>
    <w:rsid w:val="00EF7D99"/>
    <w:rsid w:val="00F02941"/>
    <w:rsid w:val="00F04AF8"/>
    <w:rsid w:val="00F45432"/>
    <w:rsid w:val="00F47647"/>
    <w:rsid w:val="00F70D54"/>
    <w:rsid w:val="00F74BA8"/>
    <w:rsid w:val="00F8271F"/>
    <w:rsid w:val="00FD709A"/>
    <w:rsid w:val="00FE0502"/>
    <w:rsid w:val="00FF5F6C"/>
    <w:rsid w:val="00FF6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50"/>
    <w:pPr>
      <w:spacing w:after="0" w:line="240" w:lineRule="auto"/>
    </w:pPr>
    <w:rPr>
      <w:sz w:val="22"/>
    </w:rPr>
  </w:style>
  <w:style w:type="paragraph" w:styleId="Heading1">
    <w:name w:val="heading 1"/>
    <w:basedOn w:val="Normal"/>
    <w:next w:val="Normal"/>
    <w:link w:val="Heading1Char"/>
    <w:autoRedefine/>
    <w:uiPriority w:val="9"/>
    <w:qFormat/>
    <w:rsid w:val="00656BCB"/>
    <w:pPr>
      <w:keepNext/>
      <w:keepLines/>
      <w:spacing w:before="480" w:after="240"/>
      <w:outlineLvl w:val="0"/>
    </w:pPr>
    <w:rPr>
      <w:rFonts w:asciiTheme="majorHAnsi" w:eastAsiaTheme="majorEastAsia" w:hAnsiTheme="majorHAnsi" w:cstheme="majorBidi"/>
      <w:b/>
      <w:bCs/>
      <w:color w:val="365F91" w:themeColor="accent1" w:themeShade="BF"/>
      <w:sz w:val="36"/>
      <w:szCs w:val="32"/>
    </w:rPr>
  </w:style>
  <w:style w:type="paragraph" w:styleId="Heading2">
    <w:name w:val="heading 2"/>
    <w:basedOn w:val="Normal"/>
    <w:next w:val="Normal"/>
    <w:link w:val="Heading2Char"/>
    <w:autoRedefine/>
    <w:uiPriority w:val="9"/>
    <w:unhideWhenUsed/>
    <w:qFormat/>
    <w:rsid w:val="00840698"/>
    <w:pPr>
      <w:keepNext/>
      <w:keepLines/>
      <w:spacing w:before="240" w:after="12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Normal"/>
    <w:link w:val="Heading3Char"/>
    <w:autoRedefine/>
    <w:uiPriority w:val="9"/>
    <w:unhideWhenUsed/>
    <w:qFormat/>
    <w:rsid w:val="007062BB"/>
    <w:pPr>
      <w:keepNext/>
      <w:keepLines/>
      <w:spacing w:before="200" w:after="120"/>
      <w:outlineLvl w:val="2"/>
    </w:pPr>
    <w:rPr>
      <w:rFonts w:asciiTheme="majorHAnsi" w:eastAsia="Times New Roman" w:hAnsiTheme="majorHAnsi" w:cstheme="majorBidi"/>
      <w:b/>
      <w:bCs/>
      <w:i/>
      <w:color w:val="365F91" w:themeColor="accent1" w:themeShade="BF"/>
      <w:sz w:val="26"/>
      <w:lang w:eastAsia="en-NZ"/>
    </w:rPr>
  </w:style>
  <w:style w:type="paragraph" w:styleId="Heading4">
    <w:name w:val="heading 4"/>
    <w:basedOn w:val="Normal"/>
    <w:next w:val="Normal"/>
    <w:link w:val="Heading4Char"/>
    <w:autoRedefine/>
    <w:uiPriority w:val="9"/>
    <w:unhideWhenUsed/>
    <w:qFormat/>
    <w:rsid w:val="007062BB"/>
    <w:pPr>
      <w:keepNext/>
      <w:keepLines/>
      <w:spacing w:before="200"/>
      <w:outlineLvl w:val="3"/>
    </w:pPr>
    <w:rPr>
      <w:rFonts w:asciiTheme="majorHAnsi" w:eastAsiaTheme="majorEastAsia" w:hAnsiTheme="majorHAnsi" w:cstheme="majorBidi"/>
      <w:b/>
      <w:bCs/>
      <w:iCs/>
      <w:color w:val="365F91" w:themeColor="accent1" w:themeShade="BF"/>
      <w:u w:val="single"/>
    </w:rPr>
  </w:style>
  <w:style w:type="paragraph" w:styleId="Heading5">
    <w:name w:val="heading 5"/>
    <w:basedOn w:val="Normal"/>
    <w:next w:val="Normal"/>
    <w:link w:val="Heading5Char"/>
    <w:uiPriority w:val="9"/>
    <w:unhideWhenUsed/>
    <w:qFormat/>
    <w:rsid w:val="00706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CB"/>
    <w:rPr>
      <w:rFonts w:asciiTheme="majorHAnsi" w:eastAsiaTheme="majorEastAsia" w:hAnsiTheme="majorHAnsi" w:cstheme="majorBidi"/>
      <w:b/>
      <w:bCs/>
      <w:color w:val="365F91" w:themeColor="accent1" w:themeShade="BF"/>
      <w:sz w:val="36"/>
      <w:szCs w:val="32"/>
    </w:rPr>
  </w:style>
  <w:style w:type="character" w:customStyle="1" w:styleId="Heading2Char">
    <w:name w:val="Heading 2 Char"/>
    <w:basedOn w:val="DefaultParagraphFont"/>
    <w:link w:val="Heading2"/>
    <w:uiPriority w:val="9"/>
    <w:rsid w:val="00840698"/>
    <w:rPr>
      <w:rFonts w:asciiTheme="majorHAnsi" w:eastAsiaTheme="majorEastAsia" w:hAnsiTheme="majorHAnsi" w:cstheme="majorBidi"/>
      <w:b/>
      <w:bCs/>
      <w:color w:val="365F91" w:themeColor="accent1" w:themeShade="BF"/>
      <w:sz w:val="28"/>
      <w:szCs w:val="26"/>
    </w:rPr>
  </w:style>
  <w:style w:type="character" w:customStyle="1" w:styleId="Heading3Char">
    <w:name w:val="Heading 3 Char"/>
    <w:basedOn w:val="DefaultParagraphFont"/>
    <w:link w:val="Heading3"/>
    <w:uiPriority w:val="9"/>
    <w:rsid w:val="007062BB"/>
    <w:rPr>
      <w:rFonts w:asciiTheme="majorHAnsi" w:eastAsia="Times New Roman" w:hAnsiTheme="majorHAnsi" w:cstheme="majorBidi"/>
      <w:b/>
      <w:bCs/>
      <w:i/>
      <w:color w:val="365F91" w:themeColor="accent1" w:themeShade="BF"/>
      <w:sz w:val="26"/>
      <w:lang w:eastAsia="en-NZ"/>
    </w:rPr>
  </w:style>
  <w:style w:type="character" w:customStyle="1" w:styleId="Heading4Char">
    <w:name w:val="Heading 4 Char"/>
    <w:basedOn w:val="DefaultParagraphFont"/>
    <w:link w:val="Heading4"/>
    <w:uiPriority w:val="9"/>
    <w:rsid w:val="007062BB"/>
    <w:rPr>
      <w:rFonts w:asciiTheme="majorHAnsi" w:eastAsiaTheme="majorEastAsia" w:hAnsiTheme="majorHAnsi" w:cstheme="majorBidi"/>
      <w:b/>
      <w:bCs/>
      <w:iCs/>
      <w:color w:val="365F91" w:themeColor="accent1" w:themeShade="BF"/>
      <w:sz w:val="22"/>
      <w:u w:val="single"/>
    </w:rPr>
  </w:style>
  <w:style w:type="table" w:styleId="TableGrid">
    <w:name w:val="Table Grid"/>
    <w:basedOn w:val="TableNormal"/>
    <w:uiPriority w:val="59"/>
    <w:rsid w:val="00B71650"/>
    <w:pPr>
      <w:spacing w:before="120"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650"/>
    <w:pPr>
      <w:ind w:left="720"/>
      <w:contextualSpacing/>
    </w:pPr>
  </w:style>
  <w:style w:type="paragraph" w:styleId="TOCHeading">
    <w:name w:val="TOC Heading"/>
    <w:basedOn w:val="Heading1"/>
    <w:next w:val="Normal"/>
    <w:uiPriority w:val="39"/>
    <w:unhideWhenUsed/>
    <w:qFormat/>
    <w:rsid w:val="00B71650"/>
    <w:pPr>
      <w:outlineLvl w:val="9"/>
    </w:pPr>
    <w:rPr>
      <w:lang w:val="en-US" w:eastAsia="ja-JP"/>
    </w:rPr>
  </w:style>
  <w:style w:type="paragraph" w:styleId="TOC1">
    <w:name w:val="toc 1"/>
    <w:basedOn w:val="Normal"/>
    <w:next w:val="Normal"/>
    <w:autoRedefine/>
    <w:uiPriority w:val="39"/>
    <w:unhideWhenUsed/>
    <w:qFormat/>
    <w:rsid w:val="004465E1"/>
    <w:pPr>
      <w:tabs>
        <w:tab w:val="left" w:pos="567"/>
        <w:tab w:val="right" w:leader="dot" w:pos="9016"/>
      </w:tabs>
      <w:spacing w:before="120"/>
    </w:pPr>
    <w:rPr>
      <w:b/>
      <w:noProof/>
      <w:sz w:val="26"/>
    </w:rPr>
  </w:style>
  <w:style w:type="paragraph" w:styleId="TOC2">
    <w:name w:val="toc 2"/>
    <w:basedOn w:val="Normal"/>
    <w:next w:val="Normal"/>
    <w:autoRedefine/>
    <w:uiPriority w:val="39"/>
    <w:unhideWhenUsed/>
    <w:qFormat/>
    <w:rsid w:val="00B71650"/>
    <w:pPr>
      <w:tabs>
        <w:tab w:val="right" w:leader="dot" w:pos="9016"/>
      </w:tabs>
      <w:ind w:left="567"/>
    </w:pPr>
    <w:rPr>
      <w:noProof/>
      <w:sz w:val="24"/>
    </w:rPr>
  </w:style>
  <w:style w:type="character" w:styleId="Hyperlink">
    <w:name w:val="Hyperlink"/>
    <w:basedOn w:val="DefaultParagraphFont"/>
    <w:uiPriority w:val="99"/>
    <w:unhideWhenUsed/>
    <w:rsid w:val="00B71650"/>
    <w:rPr>
      <w:color w:val="0000FF" w:themeColor="hyperlink"/>
      <w:u w:val="single"/>
    </w:rPr>
  </w:style>
  <w:style w:type="paragraph" w:styleId="TOC3">
    <w:name w:val="toc 3"/>
    <w:basedOn w:val="Normal"/>
    <w:next w:val="Normal"/>
    <w:autoRedefine/>
    <w:uiPriority w:val="39"/>
    <w:unhideWhenUsed/>
    <w:qFormat/>
    <w:rsid w:val="00B71650"/>
    <w:pPr>
      <w:tabs>
        <w:tab w:val="right" w:leader="dot" w:pos="9016"/>
      </w:tabs>
      <w:ind w:left="907"/>
    </w:pPr>
    <w:rPr>
      <w:rFonts w:asciiTheme="minorHAnsi" w:eastAsiaTheme="minorEastAsia" w:hAnsiTheme="minorHAnsi"/>
      <w:lang w:val="en-US" w:eastAsia="ja-JP"/>
    </w:rPr>
  </w:style>
  <w:style w:type="paragraph" w:styleId="Subtitle">
    <w:name w:val="Subtitle"/>
    <w:basedOn w:val="Normal"/>
    <w:next w:val="Normal"/>
    <w:link w:val="SubtitleChar"/>
    <w:uiPriority w:val="11"/>
    <w:qFormat/>
    <w:rsid w:val="00B71650"/>
    <w:pPr>
      <w:numPr>
        <w:ilvl w:val="1"/>
      </w:numPr>
      <w:ind w:left="170" w:hanging="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71650"/>
    <w:rPr>
      <w:rFonts w:asciiTheme="majorHAnsi" w:eastAsiaTheme="majorEastAsia" w:hAnsiTheme="majorHAnsi" w:cstheme="majorBidi"/>
      <w:i/>
      <w:iCs/>
      <w:color w:val="4F81BD" w:themeColor="accent1"/>
      <w:spacing w:val="15"/>
      <w:sz w:val="22"/>
      <w:szCs w:val="24"/>
    </w:rPr>
  </w:style>
  <w:style w:type="table" w:customStyle="1" w:styleId="TableGrid1">
    <w:name w:val="Table Grid1"/>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71650"/>
    <w:pPr>
      <w:spacing w:after="100"/>
      <w:ind w:left="720"/>
    </w:pPr>
  </w:style>
  <w:style w:type="paragraph" w:styleId="BalloonText">
    <w:name w:val="Balloon Text"/>
    <w:basedOn w:val="Normal"/>
    <w:link w:val="BalloonTextChar"/>
    <w:uiPriority w:val="99"/>
    <w:semiHidden/>
    <w:unhideWhenUsed/>
    <w:rsid w:val="00B71650"/>
    <w:rPr>
      <w:rFonts w:ascii="Tahoma" w:hAnsi="Tahoma" w:cs="Tahoma"/>
      <w:sz w:val="16"/>
      <w:szCs w:val="16"/>
    </w:rPr>
  </w:style>
  <w:style w:type="character" w:customStyle="1" w:styleId="BalloonTextChar">
    <w:name w:val="Balloon Text Char"/>
    <w:basedOn w:val="DefaultParagraphFont"/>
    <w:link w:val="BalloonText"/>
    <w:uiPriority w:val="99"/>
    <w:semiHidden/>
    <w:rsid w:val="00B71650"/>
    <w:rPr>
      <w:rFonts w:ascii="Tahoma" w:hAnsi="Tahoma" w:cs="Tahoma"/>
      <w:sz w:val="16"/>
      <w:szCs w:val="16"/>
    </w:rPr>
  </w:style>
  <w:style w:type="paragraph" w:styleId="Header">
    <w:name w:val="header"/>
    <w:basedOn w:val="Normal"/>
    <w:link w:val="HeaderChar"/>
    <w:uiPriority w:val="99"/>
    <w:unhideWhenUsed/>
    <w:rsid w:val="00B71650"/>
    <w:pPr>
      <w:tabs>
        <w:tab w:val="center" w:pos="4513"/>
        <w:tab w:val="right" w:pos="9026"/>
      </w:tabs>
    </w:pPr>
  </w:style>
  <w:style w:type="character" w:customStyle="1" w:styleId="HeaderChar">
    <w:name w:val="Header Char"/>
    <w:basedOn w:val="DefaultParagraphFont"/>
    <w:link w:val="Header"/>
    <w:uiPriority w:val="99"/>
    <w:rsid w:val="00B71650"/>
    <w:rPr>
      <w:sz w:val="22"/>
    </w:rPr>
  </w:style>
  <w:style w:type="paragraph" w:styleId="Footer">
    <w:name w:val="footer"/>
    <w:basedOn w:val="Normal"/>
    <w:link w:val="FooterChar"/>
    <w:uiPriority w:val="99"/>
    <w:unhideWhenUsed/>
    <w:rsid w:val="00B71650"/>
    <w:pPr>
      <w:tabs>
        <w:tab w:val="center" w:pos="4513"/>
        <w:tab w:val="right" w:pos="9026"/>
      </w:tabs>
    </w:pPr>
  </w:style>
  <w:style w:type="character" w:customStyle="1" w:styleId="FooterChar">
    <w:name w:val="Footer Char"/>
    <w:basedOn w:val="DefaultParagraphFont"/>
    <w:link w:val="Footer"/>
    <w:uiPriority w:val="99"/>
    <w:rsid w:val="00B71650"/>
    <w:rPr>
      <w:sz w:val="22"/>
    </w:rPr>
  </w:style>
  <w:style w:type="paragraph" w:styleId="FootnoteText">
    <w:name w:val="footnote text"/>
    <w:basedOn w:val="Normal"/>
    <w:link w:val="FootnoteTextChar"/>
    <w:uiPriority w:val="99"/>
    <w:semiHidden/>
    <w:unhideWhenUsed/>
    <w:rsid w:val="00B71650"/>
    <w:rPr>
      <w:sz w:val="20"/>
      <w:szCs w:val="20"/>
    </w:rPr>
  </w:style>
  <w:style w:type="character" w:customStyle="1" w:styleId="FootnoteTextChar">
    <w:name w:val="Footnote Text Char"/>
    <w:basedOn w:val="DefaultParagraphFont"/>
    <w:link w:val="FootnoteText"/>
    <w:uiPriority w:val="99"/>
    <w:semiHidden/>
    <w:rsid w:val="00B71650"/>
    <w:rPr>
      <w:sz w:val="20"/>
      <w:szCs w:val="20"/>
    </w:rPr>
  </w:style>
  <w:style w:type="character" w:styleId="FootnoteReference">
    <w:name w:val="footnote reference"/>
    <w:basedOn w:val="DefaultParagraphFont"/>
    <w:uiPriority w:val="99"/>
    <w:semiHidden/>
    <w:unhideWhenUsed/>
    <w:rsid w:val="00B71650"/>
    <w:rPr>
      <w:vertAlign w:val="superscript"/>
    </w:rPr>
  </w:style>
  <w:style w:type="paragraph" w:customStyle="1" w:styleId="ColorfulList-Accent11">
    <w:name w:val="Colorful List - Accent 11"/>
    <w:basedOn w:val="Normal"/>
    <w:uiPriority w:val="34"/>
    <w:qFormat/>
    <w:rsid w:val="00B71650"/>
    <w:pPr>
      <w:ind w:left="720"/>
    </w:pPr>
    <w:rPr>
      <w:rFonts w:ascii="Calibri" w:eastAsia="Calibri" w:hAnsi="Calibri" w:cs="Calibri"/>
      <w:lang w:eastAsia="en-NZ"/>
    </w:rPr>
  </w:style>
  <w:style w:type="paragraph" w:styleId="Quote">
    <w:name w:val="Quote"/>
    <w:basedOn w:val="Normal"/>
    <w:next w:val="Normal"/>
    <w:link w:val="QuoteChar"/>
    <w:autoRedefine/>
    <w:uiPriority w:val="29"/>
    <w:qFormat/>
    <w:rsid w:val="00060DFC"/>
    <w:pPr>
      <w:ind w:left="720"/>
    </w:pPr>
    <w:rPr>
      <w:rFonts w:eastAsia="Times New Roman" w:cs="Arial"/>
      <w:i/>
      <w:iCs/>
      <w:color w:val="000000"/>
      <w:sz w:val="20"/>
      <w:szCs w:val="20"/>
      <w:lang w:val="en-GB" w:eastAsia="en-NZ"/>
    </w:rPr>
  </w:style>
  <w:style w:type="character" w:customStyle="1" w:styleId="QuoteChar">
    <w:name w:val="Quote Char"/>
    <w:basedOn w:val="DefaultParagraphFont"/>
    <w:link w:val="Quote"/>
    <w:uiPriority w:val="29"/>
    <w:rsid w:val="00060DFC"/>
    <w:rPr>
      <w:rFonts w:eastAsia="Times New Roman" w:cs="Arial"/>
      <w:i/>
      <w:iCs/>
      <w:color w:val="000000"/>
      <w:sz w:val="20"/>
      <w:szCs w:val="20"/>
      <w:lang w:val="en-GB" w:eastAsia="en-NZ"/>
    </w:rPr>
  </w:style>
  <w:style w:type="paragraph" w:styleId="IntenseQuote">
    <w:name w:val="Intense Quote"/>
    <w:basedOn w:val="Normal"/>
    <w:next w:val="Normal"/>
    <w:link w:val="IntenseQuoteChar"/>
    <w:uiPriority w:val="30"/>
    <w:qFormat/>
    <w:rsid w:val="00B716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50"/>
    <w:rPr>
      <w:b/>
      <w:bCs/>
      <w:i/>
      <w:iCs/>
      <w:color w:val="4F81BD" w:themeColor="accent1"/>
      <w:sz w:val="22"/>
    </w:rPr>
  </w:style>
  <w:style w:type="character" w:styleId="CommentReference">
    <w:name w:val="annotation reference"/>
    <w:basedOn w:val="DefaultParagraphFont"/>
    <w:uiPriority w:val="99"/>
    <w:semiHidden/>
    <w:unhideWhenUsed/>
    <w:rsid w:val="005973CA"/>
    <w:rPr>
      <w:sz w:val="16"/>
      <w:szCs w:val="16"/>
    </w:rPr>
  </w:style>
  <w:style w:type="paragraph" w:styleId="CommentText">
    <w:name w:val="annotation text"/>
    <w:basedOn w:val="Normal"/>
    <w:link w:val="CommentTextChar"/>
    <w:uiPriority w:val="99"/>
    <w:semiHidden/>
    <w:unhideWhenUsed/>
    <w:rsid w:val="005973CA"/>
    <w:rPr>
      <w:sz w:val="20"/>
      <w:szCs w:val="20"/>
    </w:rPr>
  </w:style>
  <w:style w:type="character" w:customStyle="1" w:styleId="CommentTextChar">
    <w:name w:val="Comment Text Char"/>
    <w:basedOn w:val="DefaultParagraphFont"/>
    <w:link w:val="CommentText"/>
    <w:uiPriority w:val="99"/>
    <w:semiHidden/>
    <w:rsid w:val="005973CA"/>
    <w:rPr>
      <w:sz w:val="20"/>
      <w:szCs w:val="20"/>
    </w:rPr>
  </w:style>
  <w:style w:type="paragraph" w:styleId="CommentSubject">
    <w:name w:val="annotation subject"/>
    <w:basedOn w:val="CommentText"/>
    <w:next w:val="CommentText"/>
    <w:link w:val="CommentSubjectChar"/>
    <w:uiPriority w:val="99"/>
    <w:semiHidden/>
    <w:unhideWhenUsed/>
    <w:rsid w:val="005973CA"/>
    <w:rPr>
      <w:b/>
      <w:bCs/>
    </w:rPr>
  </w:style>
  <w:style w:type="character" w:customStyle="1" w:styleId="CommentSubjectChar">
    <w:name w:val="Comment Subject Char"/>
    <w:basedOn w:val="CommentTextChar"/>
    <w:link w:val="CommentSubject"/>
    <w:uiPriority w:val="99"/>
    <w:semiHidden/>
    <w:rsid w:val="005973CA"/>
    <w:rPr>
      <w:b/>
      <w:bCs/>
      <w:sz w:val="20"/>
      <w:szCs w:val="20"/>
    </w:rPr>
  </w:style>
  <w:style w:type="paragraph" w:styleId="Revision">
    <w:name w:val="Revision"/>
    <w:hidden/>
    <w:uiPriority w:val="99"/>
    <w:semiHidden/>
    <w:rsid w:val="0061300C"/>
    <w:pPr>
      <w:spacing w:after="0" w:line="240" w:lineRule="auto"/>
    </w:pPr>
    <w:rPr>
      <w:sz w:val="22"/>
    </w:rPr>
  </w:style>
  <w:style w:type="character" w:customStyle="1" w:styleId="Heading5Char">
    <w:name w:val="Heading 5 Char"/>
    <w:basedOn w:val="DefaultParagraphFont"/>
    <w:link w:val="Heading5"/>
    <w:uiPriority w:val="9"/>
    <w:rsid w:val="007062BB"/>
    <w:rPr>
      <w:rFonts w:asciiTheme="majorHAnsi" w:eastAsiaTheme="majorEastAsia" w:hAnsiTheme="majorHAnsi" w:cstheme="majorBidi"/>
      <w:color w:val="243F60" w:themeColor="accent1" w:themeShade="7F"/>
      <w:sz w:val="22"/>
    </w:rPr>
  </w:style>
  <w:style w:type="table" w:styleId="LightList-Accent5">
    <w:name w:val="Light List Accent 5"/>
    <w:basedOn w:val="TableNormal"/>
    <w:uiPriority w:val="61"/>
    <w:rsid w:val="00AE6EA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M39">
    <w:name w:val="CM39"/>
    <w:basedOn w:val="Normal"/>
    <w:next w:val="Normal"/>
    <w:rsid w:val="004A7F6C"/>
    <w:pPr>
      <w:autoSpaceDE w:val="0"/>
      <w:autoSpaceDN w:val="0"/>
      <w:adjustRightInd w:val="0"/>
    </w:pPr>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50"/>
    <w:pPr>
      <w:spacing w:after="0" w:line="240" w:lineRule="auto"/>
    </w:pPr>
    <w:rPr>
      <w:sz w:val="22"/>
    </w:rPr>
  </w:style>
  <w:style w:type="paragraph" w:styleId="Heading1">
    <w:name w:val="heading 1"/>
    <w:basedOn w:val="Normal"/>
    <w:next w:val="Normal"/>
    <w:link w:val="Heading1Char"/>
    <w:autoRedefine/>
    <w:uiPriority w:val="9"/>
    <w:qFormat/>
    <w:rsid w:val="00656BCB"/>
    <w:pPr>
      <w:keepNext/>
      <w:keepLines/>
      <w:spacing w:before="480" w:after="240"/>
      <w:outlineLvl w:val="0"/>
    </w:pPr>
    <w:rPr>
      <w:rFonts w:asciiTheme="majorHAnsi" w:eastAsiaTheme="majorEastAsia" w:hAnsiTheme="majorHAnsi" w:cstheme="majorBidi"/>
      <w:b/>
      <w:bCs/>
      <w:color w:val="365F91" w:themeColor="accent1" w:themeShade="BF"/>
      <w:sz w:val="36"/>
      <w:szCs w:val="32"/>
    </w:rPr>
  </w:style>
  <w:style w:type="paragraph" w:styleId="Heading2">
    <w:name w:val="heading 2"/>
    <w:basedOn w:val="Normal"/>
    <w:next w:val="Normal"/>
    <w:link w:val="Heading2Char"/>
    <w:autoRedefine/>
    <w:uiPriority w:val="9"/>
    <w:unhideWhenUsed/>
    <w:qFormat/>
    <w:rsid w:val="00840698"/>
    <w:pPr>
      <w:keepNext/>
      <w:keepLines/>
      <w:spacing w:before="240" w:after="12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Normal"/>
    <w:link w:val="Heading3Char"/>
    <w:autoRedefine/>
    <w:uiPriority w:val="9"/>
    <w:unhideWhenUsed/>
    <w:qFormat/>
    <w:rsid w:val="007062BB"/>
    <w:pPr>
      <w:keepNext/>
      <w:keepLines/>
      <w:spacing w:before="200" w:after="120"/>
      <w:outlineLvl w:val="2"/>
    </w:pPr>
    <w:rPr>
      <w:rFonts w:asciiTheme="majorHAnsi" w:eastAsia="Times New Roman" w:hAnsiTheme="majorHAnsi" w:cstheme="majorBidi"/>
      <w:b/>
      <w:bCs/>
      <w:i/>
      <w:color w:val="365F91" w:themeColor="accent1" w:themeShade="BF"/>
      <w:sz w:val="26"/>
      <w:lang w:eastAsia="en-NZ"/>
    </w:rPr>
  </w:style>
  <w:style w:type="paragraph" w:styleId="Heading4">
    <w:name w:val="heading 4"/>
    <w:basedOn w:val="Normal"/>
    <w:next w:val="Normal"/>
    <w:link w:val="Heading4Char"/>
    <w:autoRedefine/>
    <w:uiPriority w:val="9"/>
    <w:unhideWhenUsed/>
    <w:qFormat/>
    <w:rsid w:val="007062BB"/>
    <w:pPr>
      <w:keepNext/>
      <w:keepLines/>
      <w:spacing w:before="200"/>
      <w:outlineLvl w:val="3"/>
    </w:pPr>
    <w:rPr>
      <w:rFonts w:asciiTheme="majorHAnsi" w:eastAsiaTheme="majorEastAsia" w:hAnsiTheme="majorHAnsi" w:cstheme="majorBidi"/>
      <w:b/>
      <w:bCs/>
      <w:iCs/>
      <w:color w:val="365F91" w:themeColor="accent1" w:themeShade="BF"/>
      <w:u w:val="single"/>
    </w:rPr>
  </w:style>
  <w:style w:type="paragraph" w:styleId="Heading5">
    <w:name w:val="heading 5"/>
    <w:basedOn w:val="Normal"/>
    <w:next w:val="Normal"/>
    <w:link w:val="Heading5Char"/>
    <w:uiPriority w:val="9"/>
    <w:unhideWhenUsed/>
    <w:qFormat/>
    <w:rsid w:val="00706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CB"/>
    <w:rPr>
      <w:rFonts w:asciiTheme="majorHAnsi" w:eastAsiaTheme="majorEastAsia" w:hAnsiTheme="majorHAnsi" w:cstheme="majorBidi"/>
      <w:b/>
      <w:bCs/>
      <w:color w:val="365F91" w:themeColor="accent1" w:themeShade="BF"/>
      <w:sz w:val="36"/>
      <w:szCs w:val="32"/>
    </w:rPr>
  </w:style>
  <w:style w:type="character" w:customStyle="1" w:styleId="Heading2Char">
    <w:name w:val="Heading 2 Char"/>
    <w:basedOn w:val="DefaultParagraphFont"/>
    <w:link w:val="Heading2"/>
    <w:uiPriority w:val="9"/>
    <w:rsid w:val="00840698"/>
    <w:rPr>
      <w:rFonts w:asciiTheme="majorHAnsi" w:eastAsiaTheme="majorEastAsia" w:hAnsiTheme="majorHAnsi" w:cstheme="majorBidi"/>
      <w:b/>
      <w:bCs/>
      <w:color w:val="365F91" w:themeColor="accent1" w:themeShade="BF"/>
      <w:sz w:val="28"/>
      <w:szCs w:val="26"/>
    </w:rPr>
  </w:style>
  <w:style w:type="character" w:customStyle="1" w:styleId="Heading3Char">
    <w:name w:val="Heading 3 Char"/>
    <w:basedOn w:val="DefaultParagraphFont"/>
    <w:link w:val="Heading3"/>
    <w:uiPriority w:val="9"/>
    <w:rsid w:val="007062BB"/>
    <w:rPr>
      <w:rFonts w:asciiTheme="majorHAnsi" w:eastAsia="Times New Roman" w:hAnsiTheme="majorHAnsi" w:cstheme="majorBidi"/>
      <w:b/>
      <w:bCs/>
      <w:i/>
      <w:color w:val="365F91" w:themeColor="accent1" w:themeShade="BF"/>
      <w:sz w:val="26"/>
      <w:lang w:eastAsia="en-NZ"/>
    </w:rPr>
  </w:style>
  <w:style w:type="character" w:customStyle="1" w:styleId="Heading4Char">
    <w:name w:val="Heading 4 Char"/>
    <w:basedOn w:val="DefaultParagraphFont"/>
    <w:link w:val="Heading4"/>
    <w:uiPriority w:val="9"/>
    <w:rsid w:val="007062BB"/>
    <w:rPr>
      <w:rFonts w:asciiTheme="majorHAnsi" w:eastAsiaTheme="majorEastAsia" w:hAnsiTheme="majorHAnsi" w:cstheme="majorBidi"/>
      <w:b/>
      <w:bCs/>
      <w:iCs/>
      <w:color w:val="365F91" w:themeColor="accent1" w:themeShade="BF"/>
      <w:sz w:val="22"/>
      <w:u w:val="single"/>
    </w:rPr>
  </w:style>
  <w:style w:type="table" w:styleId="TableGrid">
    <w:name w:val="Table Grid"/>
    <w:basedOn w:val="TableNormal"/>
    <w:uiPriority w:val="59"/>
    <w:rsid w:val="00B71650"/>
    <w:pPr>
      <w:spacing w:before="120"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650"/>
    <w:pPr>
      <w:ind w:left="720"/>
      <w:contextualSpacing/>
    </w:pPr>
  </w:style>
  <w:style w:type="paragraph" w:styleId="TOCHeading">
    <w:name w:val="TOC Heading"/>
    <w:basedOn w:val="Heading1"/>
    <w:next w:val="Normal"/>
    <w:uiPriority w:val="39"/>
    <w:unhideWhenUsed/>
    <w:qFormat/>
    <w:rsid w:val="00B71650"/>
    <w:pPr>
      <w:outlineLvl w:val="9"/>
    </w:pPr>
    <w:rPr>
      <w:lang w:val="en-US" w:eastAsia="ja-JP"/>
    </w:rPr>
  </w:style>
  <w:style w:type="paragraph" w:styleId="TOC1">
    <w:name w:val="toc 1"/>
    <w:basedOn w:val="Normal"/>
    <w:next w:val="Normal"/>
    <w:autoRedefine/>
    <w:uiPriority w:val="39"/>
    <w:unhideWhenUsed/>
    <w:qFormat/>
    <w:rsid w:val="004465E1"/>
    <w:pPr>
      <w:tabs>
        <w:tab w:val="left" w:pos="567"/>
        <w:tab w:val="right" w:leader="dot" w:pos="9016"/>
      </w:tabs>
      <w:spacing w:before="120"/>
    </w:pPr>
    <w:rPr>
      <w:b/>
      <w:noProof/>
      <w:sz w:val="26"/>
    </w:rPr>
  </w:style>
  <w:style w:type="paragraph" w:styleId="TOC2">
    <w:name w:val="toc 2"/>
    <w:basedOn w:val="Normal"/>
    <w:next w:val="Normal"/>
    <w:autoRedefine/>
    <w:uiPriority w:val="39"/>
    <w:unhideWhenUsed/>
    <w:qFormat/>
    <w:rsid w:val="00B71650"/>
    <w:pPr>
      <w:tabs>
        <w:tab w:val="right" w:leader="dot" w:pos="9016"/>
      </w:tabs>
      <w:ind w:left="567"/>
    </w:pPr>
    <w:rPr>
      <w:noProof/>
      <w:sz w:val="24"/>
    </w:rPr>
  </w:style>
  <w:style w:type="character" w:styleId="Hyperlink">
    <w:name w:val="Hyperlink"/>
    <w:basedOn w:val="DefaultParagraphFont"/>
    <w:uiPriority w:val="99"/>
    <w:unhideWhenUsed/>
    <w:rsid w:val="00B71650"/>
    <w:rPr>
      <w:color w:val="0000FF" w:themeColor="hyperlink"/>
      <w:u w:val="single"/>
    </w:rPr>
  </w:style>
  <w:style w:type="paragraph" w:styleId="TOC3">
    <w:name w:val="toc 3"/>
    <w:basedOn w:val="Normal"/>
    <w:next w:val="Normal"/>
    <w:autoRedefine/>
    <w:uiPriority w:val="39"/>
    <w:unhideWhenUsed/>
    <w:qFormat/>
    <w:rsid w:val="00B71650"/>
    <w:pPr>
      <w:tabs>
        <w:tab w:val="right" w:leader="dot" w:pos="9016"/>
      </w:tabs>
      <w:ind w:left="907"/>
    </w:pPr>
    <w:rPr>
      <w:rFonts w:asciiTheme="minorHAnsi" w:eastAsiaTheme="minorEastAsia" w:hAnsiTheme="minorHAnsi"/>
      <w:lang w:val="en-US" w:eastAsia="ja-JP"/>
    </w:rPr>
  </w:style>
  <w:style w:type="paragraph" w:styleId="Subtitle">
    <w:name w:val="Subtitle"/>
    <w:basedOn w:val="Normal"/>
    <w:next w:val="Normal"/>
    <w:link w:val="SubtitleChar"/>
    <w:uiPriority w:val="11"/>
    <w:qFormat/>
    <w:rsid w:val="00B71650"/>
    <w:pPr>
      <w:numPr>
        <w:ilvl w:val="1"/>
      </w:numPr>
      <w:ind w:left="170" w:hanging="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71650"/>
    <w:rPr>
      <w:rFonts w:asciiTheme="majorHAnsi" w:eastAsiaTheme="majorEastAsia" w:hAnsiTheme="majorHAnsi" w:cstheme="majorBidi"/>
      <w:i/>
      <w:iCs/>
      <w:color w:val="4F81BD" w:themeColor="accent1"/>
      <w:spacing w:val="15"/>
      <w:sz w:val="22"/>
      <w:szCs w:val="24"/>
    </w:rPr>
  </w:style>
  <w:style w:type="table" w:customStyle="1" w:styleId="TableGrid1">
    <w:name w:val="Table Grid1"/>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71650"/>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71650"/>
    <w:pPr>
      <w:spacing w:after="100"/>
      <w:ind w:left="720"/>
    </w:pPr>
  </w:style>
  <w:style w:type="paragraph" w:styleId="BalloonText">
    <w:name w:val="Balloon Text"/>
    <w:basedOn w:val="Normal"/>
    <w:link w:val="BalloonTextChar"/>
    <w:uiPriority w:val="99"/>
    <w:semiHidden/>
    <w:unhideWhenUsed/>
    <w:rsid w:val="00B71650"/>
    <w:rPr>
      <w:rFonts w:ascii="Tahoma" w:hAnsi="Tahoma" w:cs="Tahoma"/>
      <w:sz w:val="16"/>
      <w:szCs w:val="16"/>
    </w:rPr>
  </w:style>
  <w:style w:type="character" w:customStyle="1" w:styleId="BalloonTextChar">
    <w:name w:val="Balloon Text Char"/>
    <w:basedOn w:val="DefaultParagraphFont"/>
    <w:link w:val="BalloonText"/>
    <w:uiPriority w:val="99"/>
    <w:semiHidden/>
    <w:rsid w:val="00B71650"/>
    <w:rPr>
      <w:rFonts w:ascii="Tahoma" w:hAnsi="Tahoma" w:cs="Tahoma"/>
      <w:sz w:val="16"/>
      <w:szCs w:val="16"/>
    </w:rPr>
  </w:style>
  <w:style w:type="paragraph" w:styleId="Header">
    <w:name w:val="header"/>
    <w:basedOn w:val="Normal"/>
    <w:link w:val="HeaderChar"/>
    <w:uiPriority w:val="99"/>
    <w:unhideWhenUsed/>
    <w:rsid w:val="00B71650"/>
    <w:pPr>
      <w:tabs>
        <w:tab w:val="center" w:pos="4513"/>
        <w:tab w:val="right" w:pos="9026"/>
      </w:tabs>
    </w:pPr>
  </w:style>
  <w:style w:type="character" w:customStyle="1" w:styleId="HeaderChar">
    <w:name w:val="Header Char"/>
    <w:basedOn w:val="DefaultParagraphFont"/>
    <w:link w:val="Header"/>
    <w:uiPriority w:val="99"/>
    <w:rsid w:val="00B71650"/>
    <w:rPr>
      <w:sz w:val="22"/>
    </w:rPr>
  </w:style>
  <w:style w:type="paragraph" w:styleId="Footer">
    <w:name w:val="footer"/>
    <w:basedOn w:val="Normal"/>
    <w:link w:val="FooterChar"/>
    <w:uiPriority w:val="99"/>
    <w:unhideWhenUsed/>
    <w:rsid w:val="00B71650"/>
    <w:pPr>
      <w:tabs>
        <w:tab w:val="center" w:pos="4513"/>
        <w:tab w:val="right" w:pos="9026"/>
      </w:tabs>
    </w:pPr>
  </w:style>
  <w:style w:type="character" w:customStyle="1" w:styleId="FooterChar">
    <w:name w:val="Footer Char"/>
    <w:basedOn w:val="DefaultParagraphFont"/>
    <w:link w:val="Footer"/>
    <w:uiPriority w:val="99"/>
    <w:rsid w:val="00B71650"/>
    <w:rPr>
      <w:sz w:val="22"/>
    </w:rPr>
  </w:style>
  <w:style w:type="paragraph" w:styleId="FootnoteText">
    <w:name w:val="footnote text"/>
    <w:basedOn w:val="Normal"/>
    <w:link w:val="FootnoteTextChar"/>
    <w:uiPriority w:val="99"/>
    <w:semiHidden/>
    <w:unhideWhenUsed/>
    <w:rsid w:val="00B71650"/>
    <w:rPr>
      <w:sz w:val="20"/>
      <w:szCs w:val="20"/>
    </w:rPr>
  </w:style>
  <w:style w:type="character" w:customStyle="1" w:styleId="FootnoteTextChar">
    <w:name w:val="Footnote Text Char"/>
    <w:basedOn w:val="DefaultParagraphFont"/>
    <w:link w:val="FootnoteText"/>
    <w:uiPriority w:val="99"/>
    <w:semiHidden/>
    <w:rsid w:val="00B71650"/>
    <w:rPr>
      <w:sz w:val="20"/>
      <w:szCs w:val="20"/>
    </w:rPr>
  </w:style>
  <w:style w:type="character" w:styleId="FootnoteReference">
    <w:name w:val="footnote reference"/>
    <w:basedOn w:val="DefaultParagraphFont"/>
    <w:uiPriority w:val="99"/>
    <w:semiHidden/>
    <w:unhideWhenUsed/>
    <w:rsid w:val="00B71650"/>
    <w:rPr>
      <w:vertAlign w:val="superscript"/>
    </w:rPr>
  </w:style>
  <w:style w:type="paragraph" w:customStyle="1" w:styleId="ColorfulList-Accent11">
    <w:name w:val="Colorful List - Accent 11"/>
    <w:basedOn w:val="Normal"/>
    <w:uiPriority w:val="34"/>
    <w:qFormat/>
    <w:rsid w:val="00B71650"/>
    <w:pPr>
      <w:ind w:left="720"/>
    </w:pPr>
    <w:rPr>
      <w:rFonts w:ascii="Calibri" w:eastAsia="Calibri" w:hAnsi="Calibri" w:cs="Calibri"/>
      <w:lang w:eastAsia="en-NZ"/>
    </w:rPr>
  </w:style>
  <w:style w:type="paragraph" w:styleId="Quote">
    <w:name w:val="Quote"/>
    <w:basedOn w:val="Normal"/>
    <w:next w:val="Normal"/>
    <w:link w:val="QuoteChar"/>
    <w:autoRedefine/>
    <w:uiPriority w:val="29"/>
    <w:qFormat/>
    <w:rsid w:val="00060DFC"/>
    <w:pPr>
      <w:ind w:left="720"/>
    </w:pPr>
    <w:rPr>
      <w:rFonts w:eastAsia="Times New Roman" w:cs="Arial"/>
      <w:i/>
      <w:iCs/>
      <w:color w:val="000000"/>
      <w:sz w:val="20"/>
      <w:szCs w:val="20"/>
      <w:lang w:val="en-GB" w:eastAsia="en-NZ"/>
    </w:rPr>
  </w:style>
  <w:style w:type="character" w:customStyle="1" w:styleId="QuoteChar">
    <w:name w:val="Quote Char"/>
    <w:basedOn w:val="DefaultParagraphFont"/>
    <w:link w:val="Quote"/>
    <w:uiPriority w:val="29"/>
    <w:rsid w:val="00060DFC"/>
    <w:rPr>
      <w:rFonts w:eastAsia="Times New Roman" w:cs="Arial"/>
      <w:i/>
      <w:iCs/>
      <w:color w:val="000000"/>
      <w:sz w:val="20"/>
      <w:szCs w:val="20"/>
      <w:lang w:val="en-GB" w:eastAsia="en-NZ"/>
    </w:rPr>
  </w:style>
  <w:style w:type="paragraph" w:styleId="IntenseQuote">
    <w:name w:val="Intense Quote"/>
    <w:basedOn w:val="Normal"/>
    <w:next w:val="Normal"/>
    <w:link w:val="IntenseQuoteChar"/>
    <w:uiPriority w:val="30"/>
    <w:qFormat/>
    <w:rsid w:val="00B716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50"/>
    <w:rPr>
      <w:b/>
      <w:bCs/>
      <w:i/>
      <w:iCs/>
      <w:color w:val="4F81BD" w:themeColor="accent1"/>
      <w:sz w:val="22"/>
    </w:rPr>
  </w:style>
  <w:style w:type="character" w:styleId="CommentReference">
    <w:name w:val="annotation reference"/>
    <w:basedOn w:val="DefaultParagraphFont"/>
    <w:uiPriority w:val="99"/>
    <w:semiHidden/>
    <w:unhideWhenUsed/>
    <w:rsid w:val="005973CA"/>
    <w:rPr>
      <w:sz w:val="16"/>
      <w:szCs w:val="16"/>
    </w:rPr>
  </w:style>
  <w:style w:type="paragraph" w:styleId="CommentText">
    <w:name w:val="annotation text"/>
    <w:basedOn w:val="Normal"/>
    <w:link w:val="CommentTextChar"/>
    <w:uiPriority w:val="99"/>
    <w:semiHidden/>
    <w:unhideWhenUsed/>
    <w:rsid w:val="005973CA"/>
    <w:rPr>
      <w:sz w:val="20"/>
      <w:szCs w:val="20"/>
    </w:rPr>
  </w:style>
  <w:style w:type="character" w:customStyle="1" w:styleId="CommentTextChar">
    <w:name w:val="Comment Text Char"/>
    <w:basedOn w:val="DefaultParagraphFont"/>
    <w:link w:val="CommentText"/>
    <w:uiPriority w:val="99"/>
    <w:semiHidden/>
    <w:rsid w:val="005973CA"/>
    <w:rPr>
      <w:sz w:val="20"/>
      <w:szCs w:val="20"/>
    </w:rPr>
  </w:style>
  <w:style w:type="paragraph" w:styleId="CommentSubject">
    <w:name w:val="annotation subject"/>
    <w:basedOn w:val="CommentText"/>
    <w:next w:val="CommentText"/>
    <w:link w:val="CommentSubjectChar"/>
    <w:uiPriority w:val="99"/>
    <w:semiHidden/>
    <w:unhideWhenUsed/>
    <w:rsid w:val="005973CA"/>
    <w:rPr>
      <w:b/>
      <w:bCs/>
    </w:rPr>
  </w:style>
  <w:style w:type="character" w:customStyle="1" w:styleId="CommentSubjectChar">
    <w:name w:val="Comment Subject Char"/>
    <w:basedOn w:val="CommentTextChar"/>
    <w:link w:val="CommentSubject"/>
    <w:uiPriority w:val="99"/>
    <w:semiHidden/>
    <w:rsid w:val="005973CA"/>
    <w:rPr>
      <w:b/>
      <w:bCs/>
      <w:sz w:val="20"/>
      <w:szCs w:val="20"/>
    </w:rPr>
  </w:style>
  <w:style w:type="paragraph" w:styleId="Revision">
    <w:name w:val="Revision"/>
    <w:hidden/>
    <w:uiPriority w:val="99"/>
    <w:semiHidden/>
    <w:rsid w:val="0061300C"/>
    <w:pPr>
      <w:spacing w:after="0" w:line="240" w:lineRule="auto"/>
    </w:pPr>
    <w:rPr>
      <w:sz w:val="22"/>
    </w:rPr>
  </w:style>
  <w:style w:type="character" w:customStyle="1" w:styleId="Heading5Char">
    <w:name w:val="Heading 5 Char"/>
    <w:basedOn w:val="DefaultParagraphFont"/>
    <w:link w:val="Heading5"/>
    <w:uiPriority w:val="9"/>
    <w:rsid w:val="007062BB"/>
    <w:rPr>
      <w:rFonts w:asciiTheme="majorHAnsi" w:eastAsiaTheme="majorEastAsia" w:hAnsiTheme="majorHAnsi" w:cstheme="majorBidi"/>
      <w:color w:val="243F60" w:themeColor="accent1" w:themeShade="7F"/>
      <w:sz w:val="22"/>
    </w:rPr>
  </w:style>
  <w:style w:type="table" w:styleId="LightList-Accent5">
    <w:name w:val="Light List Accent 5"/>
    <w:basedOn w:val="TableNormal"/>
    <w:uiPriority w:val="61"/>
    <w:rsid w:val="00AE6EA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M39">
    <w:name w:val="CM39"/>
    <w:basedOn w:val="Normal"/>
    <w:next w:val="Normal"/>
    <w:rsid w:val="004A7F6C"/>
    <w:pPr>
      <w:autoSpaceDE w:val="0"/>
      <w:autoSpaceDN w:val="0"/>
      <w:adjustRightInd w:val="0"/>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committees.health.govt.nz"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www.parliament.nz/en-NZ/PB/Presented/Papers/6/2/f/49DBHOH_PAP21990_1-Government-Response-to-Report-of-the-Health-Committee.htm"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nz/en-NZ/PB/SC/Documents/Reports/e/8/2/49DBSCH_SCR5154_1-Inquiry-into-improving-New-Zealand-s-environment.htm" TargetMode="Externa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yperlink" Target="http://www.parliament.nz/en-NZ/PB/SC/BusSum/7/1/5/00DBSCH_INQ_9752_1-Inquiry-into-improving-New-Zealand-s-environment.htm" TargetMode="External"/><Relationship Id="rId19" Type="http://schemas.openxmlformats.org/officeDocument/2006/relationships/chart" Target="charts/chart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hics.health.govt.nz"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08588800"/>
        <c:axId val="208590336"/>
      </c:barChart>
      <c:catAx>
        <c:axId val="208588800"/>
        <c:scaling>
          <c:orientation val="minMax"/>
        </c:scaling>
        <c:delete val="0"/>
        <c:axPos val="b"/>
        <c:majorTickMark val="out"/>
        <c:minorTickMark val="none"/>
        <c:tickLblPos val="nextTo"/>
        <c:txPr>
          <a:bodyPr/>
          <a:lstStyle/>
          <a:p>
            <a:pPr>
              <a:defRPr sz="800" baseline="0"/>
            </a:pPr>
            <a:endParaRPr lang="en-US"/>
          </a:p>
        </c:txPr>
        <c:crossAx val="208590336"/>
        <c:crosses val="autoZero"/>
        <c:auto val="1"/>
        <c:lblAlgn val="ctr"/>
        <c:lblOffset val="100"/>
        <c:noMultiLvlLbl val="0"/>
      </c:catAx>
      <c:valAx>
        <c:axId val="208590336"/>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3.9667948483183786E-2"/>
              <c:y val="6.2380149888130301E-2"/>
            </c:manualLayout>
          </c:layout>
          <c:overlay val="0"/>
        </c:title>
        <c:numFmt formatCode="General" sourceLinked="1"/>
        <c:majorTickMark val="out"/>
        <c:minorTickMark val="none"/>
        <c:tickLblPos val="nextTo"/>
        <c:crossAx val="208588800"/>
        <c:crosses val="autoZero"/>
        <c:crossBetween val="between"/>
        <c:majorUnit val="10"/>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5119616"/>
        <c:axId val="245125504"/>
      </c:barChart>
      <c:catAx>
        <c:axId val="245119616"/>
        <c:scaling>
          <c:orientation val="minMax"/>
        </c:scaling>
        <c:delete val="1"/>
        <c:axPos val="b"/>
        <c:majorTickMark val="out"/>
        <c:minorTickMark val="none"/>
        <c:tickLblPos val="nextTo"/>
        <c:crossAx val="245125504"/>
        <c:crosses val="autoZero"/>
        <c:auto val="1"/>
        <c:lblAlgn val="ctr"/>
        <c:lblOffset val="100"/>
        <c:noMultiLvlLbl val="0"/>
      </c:catAx>
      <c:valAx>
        <c:axId val="245125504"/>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5119616"/>
        <c:crosses val="autoZero"/>
        <c:crossBetween val="between"/>
        <c:maj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5154176"/>
        <c:axId val="245155712"/>
      </c:barChart>
      <c:catAx>
        <c:axId val="245154176"/>
        <c:scaling>
          <c:orientation val="minMax"/>
        </c:scaling>
        <c:delete val="1"/>
        <c:axPos val="b"/>
        <c:majorTickMark val="out"/>
        <c:minorTickMark val="none"/>
        <c:tickLblPos val="nextTo"/>
        <c:crossAx val="245155712"/>
        <c:crosses val="autoZero"/>
        <c:auto val="1"/>
        <c:lblAlgn val="ctr"/>
        <c:lblOffset val="100"/>
        <c:noMultiLvlLbl val="0"/>
      </c:catAx>
      <c:valAx>
        <c:axId val="245155712"/>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5154176"/>
        <c:crosses val="autoZero"/>
        <c:crossBetween val="between"/>
        <c:majorUnit val="10"/>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918144"/>
        <c:axId val="244919680"/>
      </c:barChart>
      <c:catAx>
        <c:axId val="244918144"/>
        <c:scaling>
          <c:orientation val="minMax"/>
        </c:scaling>
        <c:delete val="1"/>
        <c:axPos val="b"/>
        <c:majorTickMark val="out"/>
        <c:minorTickMark val="none"/>
        <c:tickLblPos val="nextTo"/>
        <c:crossAx val="244919680"/>
        <c:crosses val="autoZero"/>
        <c:auto val="1"/>
        <c:lblAlgn val="ctr"/>
        <c:lblOffset val="100"/>
        <c:noMultiLvlLbl val="0"/>
      </c:catAx>
      <c:valAx>
        <c:axId val="244919680"/>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918144"/>
        <c:crosses val="autoZero"/>
        <c:crossBetween val="between"/>
        <c:majorUnit val="1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956544"/>
        <c:axId val="244958336"/>
      </c:barChart>
      <c:catAx>
        <c:axId val="244956544"/>
        <c:scaling>
          <c:orientation val="minMax"/>
        </c:scaling>
        <c:delete val="1"/>
        <c:axPos val="b"/>
        <c:majorTickMark val="out"/>
        <c:minorTickMark val="none"/>
        <c:tickLblPos val="nextTo"/>
        <c:crossAx val="244958336"/>
        <c:crosses val="autoZero"/>
        <c:auto val="1"/>
        <c:lblAlgn val="ctr"/>
        <c:lblOffset val="100"/>
        <c:noMultiLvlLbl val="0"/>
      </c:catAx>
      <c:valAx>
        <c:axId val="244958336"/>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956544"/>
        <c:crosses val="autoZero"/>
        <c:crossBetween val="between"/>
        <c:majorUnit val="10"/>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5175424"/>
        <c:axId val="245176960"/>
      </c:barChart>
      <c:catAx>
        <c:axId val="245175424"/>
        <c:scaling>
          <c:orientation val="minMax"/>
        </c:scaling>
        <c:delete val="1"/>
        <c:axPos val="b"/>
        <c:majorTickMark val="out"/>
        <c:minorTickMark val="none"/>
        <c:tickLblPos val="nextTo"/>
        <c:crossAx val="245176960"/>
        <c:crosses val="autoZero"/>
        <c:auto val="1"/>
        <c:lblAlgn val="ctr"/>
        <c:lblOffset val="100"/>
        <c:noMultiLvlLbl val="0"/>
      </c:catAx>
      <c:valAx>
        <c:axId val="245176960"/>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5175424"/>
        <c:crosses val="autoZero"/>
        <c:crossBetween val="between"/>
        <c:majorUnit val="10"/>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5201536"/>
        <c:axId val="245203328"/>
      </c:barChart>
      <c:catAx>
        <c:axId val="245201536"/>
        <c:scaling>
          <c:orientation val="minMax"/>
        </c:scaling>
        <c:delete val="1"/>
        <c:axPos val="b"/>
        <c:majorTickMark val="out"/>
        <c:minorTickMark val="none"/>
        <c:tickLblPos val="nextTo"/>
        <c:crossAx val="245203328"/>
        <c:crosses val="autoZero"/>
        <c:auto val="1"/>
        <c:lblAlgn val="ctr"/>
        <c:lblOffset val="100"/>
        <c:noMultiLvlLbl val="0"/>
      </c:catAx>
      <c:valAx>
        <c:axId val="245203328"/>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5201536"/>
        <c:crosses val="autoZero"/>
        <c:crossBetween val="between"/>
        <c:majorUnit val="10"/>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4"/>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5227904"/>
        <c:axId val="245229440"/>
      </c:barChart>
      <c:catAx>
        <c:axId val="245227904"/>
        <c:scaling>
          <c:orientation val="minMax"/>
        </c:scaling>
        <c:delete val="1"/>
        <c:axPos val="b"/>
        <c:majorTickMark val="out"/>
        <c:minorTickMark val="none"/>
        <c:tickLblPos val="nextTo"/>
        <c:crossAx val="245229440"/>
        <c:crosses val="autoZero"/>
        <c:auto val="1"/>
        <c:lblAlgn val="ctr"/>
        <c:lblOffset val="100"/>
        <c:noMultiLvlLbl val="0"/>
      </c:catAx>
      <c:valAx>
        <c:axId val="245229440"/>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5227904"/>
        <c:crosses val="autoZero"/>
        <c:crossBetween val="between"/>
        <c:majorUnit val="1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08799232"/>
        <c:axId val="208800768"/>
      </c:barChart>
      <c:catAx>
        <c:axId val="208799232"/>
        <c:scaling>
          <c:orientation val="minMax"/>
        </c:scaling>
        <c:delete val="1"/>
        <c:axPos val="b"/>
        <c:majorTickMark val="out"/>
        <c:minorTickMark val="none"/>
        <c:tickLblPos val="nextTo"/>
        <c:crossAx val="208800768"/>
        <c:crosses val="autoZero"/>
        <c:auto val="1"/>
        <c:lblAlgn val="ctr"/>
        <c:lblOffset val="100"/>
        <c:noMultiLvlLbl val="0"/>
      </c:catAx>
      <c:valAx>
        <c:axId val="208800768"/>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08799232"/>
        <c:crosses val="autoZero"/>
        <c:crossBetween val="between"/>
        <c:majorUnit val="1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08837632"/>
        <c:axId val="208839424"/>
      </c:barChart>
      <c:catAx>
        <c:axId val="208837632"/>
        <c:scaling>
          <c:orientation val="minMax"/>
        </c:scaling>
        <c:delete val="1"/>
        <c:axPos val="b"/>
        <c:majorTickMark val="out"/>
        <c:minorTickMark val="none"/>
        <c:tickLblPos val="nextTo"/>
        <c:crossAx val="208839424"/>
        <c:crosses val="autoZero"/>
        <c:auto val="1"/>
        <c:lblAlgn val="ctr"/>
        <c:lblOffset val="100"/>
        <c:noMultiLvlLbl val="0"/>
      </c:catAx>
      <c:valAx>
        <c:axId val="208839424"/>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08837632"/>
        <c:crosses val="autoZero"/>
        <c:crossBetween val="between"/>
        <c:majorUnit val="1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08859904"/>
        <c:axId val="208861440"/>
      </c:barChart>
      <c:catAx>
        <c:axId val="208859904"/>
        <c:scaling>
          <c:orientation val="minMax"/>
        </c:scaling>
        <c:delete val="1"/>
        <c:axPos val="b"/>
        <c:majorTickMark val="out"/>
        <c:minorTickMark val="none"/>
        <c:tickLblPos val="nextTo"/>
        <c:crossAx val="208861440"/>
        <c:crosses val="autoZero"/>
        <c:auto val="1"/>
        <c:lblAlgn val="ctr"/>
        <c:lblOffset val="100"/>
        <c:noMultiLvlLbl val="0"/>
      </c:catAx>
      <c:valAx>
        <c:axId val="208861440"/>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08859904"/>
        <c:crosses val="autoZero"/>
        <c:crossBetween val="between"/>
        <c:majorUnit val="1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664576"/>
        <c:axId val="244666368"/>
      </c:barChart>
      <c:catAx>
        <c:axId val="244664576"/>
        <c:scaling>
          <c:orientation val="minMax"/>
        </c:scaling>
        <c:delete val="1"/>
        <c:axPos val="b"/>
        <c:majorTickMark val="out"/>
        <c:minorTickMark val="none"/>
        <c:tickLblPos val="nextTo"/>
        <c:crossAx val="244666368"/>
        <c:crosses val="autoZero"/>
        <c:auto val="1"/>
        <c:lblAlgn val="ctr"/>
        <c:lblOffset val="100"/>
        <c:noMultiLvlLbl val="0"/>
      </c:catAx>
      <c:valAx>
        <c:axId val="244666368"/>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664576"/>
        <c:crosses val="autoZero"/>
        <c:crossBetween val="between"/>
        <c:majorUnit val="1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690944"/>
        <c:axId val="244692480"/>
      </c:barChart>
      <c:catAx>
        <c:axId val="244690944"/>
        <c:scaling>
          <c:orientation val="minMax"/>
        </c:scaling>
        <c:delete val="1"/>
        <c:axPos val="b"/>
        <c:majorTickMark val="out"/>
        <c:minorTickMark val="none"/>
        <c:tickLblPos val="nextTo"/>
        <c:crossAx val="244692480"/>
        <c:crosses val="autoZero"/>
        <c:auto val="1"/>
        <c:lblAlgn val="ctr"/>
        <c:lblOffset val="100"/>
        <c:noMultiLvlLbl val="0"/>
      </c:catAx>
      <c:valAx>
        <c:axId val="244692480"/>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690944"/>
        <c:crosses val="autoZero"/>
        <c:crossBetween val="between"/>
        <c:majorUnit val="1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860416"/>
        <c:axId val="244861952"/>
      </c:barChart>
      <c:catAx>
        <c:axId val="244860416"/>
        <c:scaling>
          <c:orientation val="minMax"/>
        </c:scaling>
        <c:delete val="1"/>
        <c:axPos val="b"/>
        <c:majorTickMark val="out"/>
        <c:minorTickMark val="none"/>
        <c:tickLblPos val="nextTo"/>
        <c:crossAx val="244861952"/>
        <c:crosses val="autoZero"/>
        <c:auto val="1"/>
        <c:lblAlgn val="ctr"/>
        <c:lblOffset val="100"/>
        <c:noMultiLvlLbl val="0"/>
      </c:catAx>
      <c:valAx>
        <c:axId val="244861952"/>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860416"/>
        <c:crosses val="autoZero"/>
        <c:crossBetween val="between"/>
        <c:maj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878336"/>
        <c:axId val="244880128"/>
      </c:barChart>
      <c:catAx>
        <c:axId val="244878336"/>
        <c:scaling>
          <c:orientation val="minMax"/>
        </c:scaling>
        <c:delete val="1"/>
        <c:axPos val="b"/>
        <c:majorTickMark val="out"/>
        <c:minorTickMark val="none"/>
        <c:tickLblPos val="nextTo"/>
        <c:crossAx val="244880128"/>
        <c:crosses val="autoZero"/>
        <c:auto val="1"/>
        <c:lblAlgn val="ctr"/>
        <c:lblOffset val="100"/>
        <c:noMultiLvlLbl val="0"/>
      </c:catAx>
      <c:valAx>
        <c:axId val="244880128"/>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878336"/>
        <c:crosses val="autoZero"/>
        <c:crossBetween val="between"/>
        <c:majorUnit val="10"/>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tx1"/>
              </a:solidFill>
            </c:spPr>
          </c:dPt>
          <c:cat>
            <c:strRef>
              <c:f>Sheet1!$A$1:$A$15</c:f>
              <c:strCache>
                <c:ptCount val="15"/>
                <c:pt idx="0">
                  <c:v>Overall comments about SOPs</c:v>
                </c:pt>
                <c:pt idx="1">
                  <c:v>(1) Purpose and application</c:v>
                </c:pt>
                <c:pt idx="2">
                  <c:v>(2) The role of HDECs</c:v>
                </c:pt>
                <c:pt idx="3">
                  <c:v>(3) Scope of HDEC review</c:v>
                </c:pt>
                <c:pt idx="4">
                  <c:v>(4) Applying for HDEC review</c:v>
                </c:pt>
                <c:pt idx="5">
                  <c:v>(5) The full review pathway</c:v>
                </c:pt>
                <c:pt idx="6">
                  <c:v>(6) The expedited review pathway</c:v>
                </c:pt>
                <c:pt idx="7">
                  <c:v>(7) Decisions open to HDECs</c:v>
                </c:pt>
                <c:pt idx="8">
                  <c:v>(8) HDECs and the ACC Act</c:v>
                </c:pt>
                <c:pt idx="9">
                  <c:v>(9) Challenging HDEC decisions</c:v>
                </c:pt>
                <c:pt idx="10">
                  <c:v>(10) Locality review</c:v>
                </c:pt>
                <c:pt idx="11">
                  <c:v>(11) Amendments to approved studies</c:v>
                </c:pt>
                <c:pt idx="12">
                  <c:v>(12) Post-approval processes</c:v>
                </c:pt>
                <c:pt idx="13">
                  <c:v>(13) HDEC review of tissue banks</c:v>
                </c:pt>
                <c:pt idx="14">
                  <c:v>Application form</c:v>
                </c:pt>
              </c:strCache>
            </c:strRef>
          </c:cat>
          <c:val>
            <c:numRef>
              <c:f>Sheet1!$B$1:$B$15</c:f>
              <c:numCache>
                <c:formatCode>General</c:formatCode>
                <c:ptCount val="15"/>
                <c:pt idx="0">
                  <c:v>42</c:v>
                </c:pt>
                <c:pt idx="1">
                  <c:v>15</c:v>
                </c:pt>
                <c:pt idx="2">
                  <c:v>34</c:v>
                </c:pt>
                <c:pt idx="3">
                  <c:v>32</c:v>
                </c:pt>
                <c:pt idx="4">
                  <c:v>21</c:v>
                </c:pt>
                <c:pt idx="5">
                  <c:v>31</c:v>
                </c:pt>
                <c:pt idx="6">
                  <c:v>21</c:v>
                </c:pt>
                <c:pt idx="7">
                  <c:v>19</c:v>
                </c:pt>
                <c:pt idx="8">
                  <c:v>14</c:v>
                </c:pt>
                <c:pt idx="9">
                  <c:v>9</c:v>
                </c:pt>
                <c:pt idx="10">
                  <c:v>24</c:v>
                </c:pt>
                <c:pt idx="11">
                  <c:v>18</c:v>
                </c:pt>
                <c:pt idx="12">
                  <c:v>19</c:v>
                </c:pt>
                <c:pt idx="13">
                  <c:v>7</c:v>
                </c:pt>
                <c:pt idx="14">
                  <c:v>34</c:v>
                </c:pt>
              </c:numCache>
            </c:numRef>
          </c:val>
        </c:ser>
        <c:dLbls>
          <c:showLegendKey val="0"/>
          <c:showVal val="0"/>
          <c:showCatName val="0"/>
          <c:showSerName val="0"/>
          <c:showPercent val="0"/>
          <c:showBubbleSize val="0"/>
        </c:dLbls>
        <c:gapWidth val="150"/>
        <c:axId val="244896512"/>
        <c:axId val="244898048"/>
      </c:barChart>
      <c:catAx>
        <c:axId val="244896512"/>
        <c:scaling>
          <c:orientation val="minMax"/>
        </c:scaling>
        <c:delete val="1"/>
        <c:axPos val="b"/>
        <c:majorTickMark val="out"/>
        <c:minorTickMark val="none"/>
        <c:tickLblPos val="nextTo"/>
        <c:crossAx val="244898048"/>
        <c:crosses val="autoZero"/>
        <c:auto val="1"/>
        <c:lblAlgn val="ctr"/>
        <c:lblOffset val="100"/>
        <c:noMultiLvlLbl val="0"/>
      </c:catAx>
      <c:valAx>
        <c:axId val="244898048"/>
        <c:scaling>
          <c:orientation val="minMax"/>
          <c:max val="50"/>
        </c:scaling>
        <c:delete val="0"/>
        <c:axPos val="l"/>
        <c:majorGridlines/>
        <c:title>
          <c:tx>
            <c:rich>
              <a:bodyPr rot="-5400000" vert="horz"/>
              <a:lstStyle/>
              <a:p>
                <a:pPr>
                  <a:defRPr/>
                </a:pPr>
                <a:r>
                  <a:rPr lang="en-US"/>
                  <a:t>Number of submissions</a:t>
                </a:r>
              </a:p>
            </c:rich>
          </c:tx>
          <c:layout>
            <c:manualLayout>
              <c:xMode val="edge"/>
              <c:yMode val="edge"/>
              <c:x val="1.5280304485220943E-2"/>
              <c:y val="0.24779724409448819"/>
            </c:manualLayout>
          </c:layout>
          <c:overlay val="0"/>
        </c:title>
        <c:numFmt formatCode="General" sourceLinked="1"/>
        <c:majorTickMark val="out"/>
        <c:minorTickMark val="none"/>
        <c:tickLblPos val="nextTo"/>
        <c:crossAx val="244896512"/>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5FB-8E63-4D8A-BF7D-450C3FB9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
  <cp:revision>1</cp:revision>
  <dcterms:created xsi:type="dcterms:W3CDTF">2012-05-18T02:38:00Z</dcterms:created>
  <dcterms:modified xsi:type="dcterms:W3CDTF">2012-05-18T02:38:00Z</dcterms:modified>
</cp:coreProperties>
</file>